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C8DB" w14:textId="77777777" w:rsidR="004E64E6" w:rsidRDefault="009701F8" w:rsidP="004F5D71">
      <w:pPr>
        <w:spacing w:after="0" w:line="240" w:lineRule="auto"/>
        <w:jc w:val="center"/>
        <w:rPr>
          <w:rFonts w:ascii="Times New Roman" w:eastAsia="Times New Roman" w:hAnsi="Times New Roman" w:cs="Times New Roman"/>
          <w:b/>
          <w:color w:val="000080"/>
          <w:sz w:val="32"/>
          <w:szCs w:val="32"/>
        </w:rPr>
      </w:pPr>
      <w:r>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width-percent:0;mso-height-percent:0" fillcolor="#0c9">
            <v:imagedata r:id="rId8" o:title=""/>
          </v:shape>
          <o:OLEObject Type="Embed" ProgID="StaticMetafile" ShapeID="_x0000_s1027" DrawAspect="Content" ObjectID="_1670325745" r:id="rId9"/>
        </w:object>
      </w:r>
      <w:r w:rsidR="004E64E6">
        <w:rPr>
          <w:rFonts w:ascii="Times New Roman" w:eastAsia="Times New Roman" w:hAnsi="Times New Roman" w:cs="Times New Roman"/>
          <w:b/>
          <w:color w:val="000080"/>
          <w:sz w:val="32"/>
          <w:szCs w:val="32"/>
        </w:rPr>
        <w:t xml:space="preserve">Residential and Congregate Care: </w:t>
      </w:r>
    </w:p>
    <w:p w14:paraId="08D71015" w14:textId="40E4A077" w:rsidR="004F5D71" w:rsidRPr="004F5D71" w:rsidRDefault="004E64E6" w:rsidP="004F5D71">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COVID-19</w:t>
      </w:r>
      <w:r w:rsidR="004F5D71">
        <w:rPr>
          <w:rFonts w:ascii="Times New Roman" w:eastAsia="Times New Roman" w:hAnsi="Times New Roman" w:cs="Times New Roman"/>
          <w:b/>
          <w:color w:val="000080"/>
          <w:sz w:val="32"/>
          <w:szCs w:val="32"/>
        </w:rPr>
        <w:t xml:space="preserve"> Surveillance Testing FAQ</w:t>
      </w:r>
    </w:p>
    <w:p w14:paraId="70002C0D" w14:textId="7AA498DE" w:rsidR="004F5D71" w:rsidRPr="004F5D71" w:rsidRDefault="004F5D71" w:rsidP="004F5D71">
      <w:pPr>
        <w:spacing w:after="0" w:line="240" w:lineRule="auto"/>
        <w:jc w:val="center"/>
        <w:rPr>
          <w:rFonts w:ascii="Calibri" w:eastAsia="Times New Roman" w:hAnsi="Calibri" w:cs="Arial"/>
          <w:i/>
          <w:color w:val="000080"/>
          <w:sz w:val="24"/>
          <w:szCs w:val="24"/>
        </w:rPr>
      </w:pPr>
      <w:r w:rsidRPr="004F5D71">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575F4000" wp14:editId="3453B165">
                <wp:simplePos x="0" y="0"/>
                <wp:positionH relativeFrom="page">
                  <wp:align>left</wp:align>
                </wp:positionH>
                <wp:positionV relativeFrom="paragraph">
                  <wp:posOffset>238760</wp:posOffset>
                </wp:positionV>
                <wp:extent cx="7772400" cy="3810"/>
                <wp:effectExtent l="19050" t="38100" r="3810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7C9C7"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VA9ClxwEAAG0DAAAOAAAAAAAAAAAAAAAA&#10;AC4CAABkcnMvZTJvRG9jLnhtbFBLAQItABQABgAIAAAAIQDWKQJd2QAAAAcBAAAPAAAAAAAAAAAA&#10;AAAAACEEAABkcnMvZG93bnJldi54bWxQSwUGAAAAAAQABADzAAAAJwUAAAAA&#10;" strokecolor="#a50021" strokeweight="6pt">
                <w10:wrap anchorx="page"/>
              </v:line>
            </w:pict>
          </mc:Fallback>
        </mc:AlternateContent>
      </w:r>
      <w:r w:rsidR="00A21435">
        <w:rPr>
          <w:rFonts w:ascii="Times New Roman" w:eastAsia="Times New Roman" w:hAnsi="Times New Roman" w:cs="Times New Roman"/>
          <w:i/>
          <w:color w:val="000080"/>
          <w:sz w:val="24"/>
          <w:szCs w:val="24"/>
        </w:rPr>
        <w:t xml:space="preserve">Updated </w:t>
      </w:r>
      <w:r w:rsidR="00F94266">
        <w:rPr>
          <w:rFonts w:ascii="Times New Roman" w:eastAsia="Times New Roman" w:hAnsi="Times New Roman" w:cs="Times New Roman"/>
          <w:i/>
          <w:color w:val="000080"/>
          <w:sz w:val="24"/>
          <w:szCs w:val="24"/>
        </w:rPr>
        <w:t>December</w:t>
      </w:r>
      <w:r w:rsidR="0091681D">
        <w:rPr>
          <w:rFonts w:ascii="Times New Roman" w:eastAsia="Times New Roman" w:hAnsi="Times New Roman" w:cs="Times New Roman"/>
          <w:i/>
          <w:color w:val="000080"/>
          <w:sz w:val="24"/>
          <w:szCs w:val="24"/>
        </w:rPr>
        <w:t xml:space="preserve"> </w:t>
      </w:r>
      <w:r w:rsidR="000B347D">
        <w:rPr>
          <w:rFonts w:ascii="Times New Roman" w:eastAsia="Times New Roman" w:hAnsi="Times New Roman" w:cs="Times New Roman"/>
          <w:i/>
          <w:color w:val="000080"/>
          <w:sz w:val="24"/>
          <w:szCs w:val="24"/>
        </w:rPr>
        <w:t>2</w:t>
      </w:r>
      <w:r w:rsidR="00F94266">
        <w:rPr>
          <w:rFonts w:ascii="Times New Roman" w:eastAsia="Times New Roman" w:hAnsi="Times New Roman" w:cs="Times New Roman"/>
          <w:i/>
          <w:color w:val="000080"/>
          <w:sz w:val="24"/>
          <w:szCs w:val="24"/>
        </w:rPr>
        <w:t>4</w:t>
      </w:r>
      <w:r>
        <w:rPr>
          <w:rFonts w:ascii="Times New Roman" w:eastAsia="Times New Roman" w:hAnsi="Times New Roman" w:cs="Times New Roman"/>
          <w:i/>
          <w:color w:val="000080"/>
          <w:sz w:val="24"/>
          <w:szCs w:val="24"/>
        </w:rPr>
        <w:t>,</w:t>
      </w:r>
      <w:r w:rsidRPr="004F5D71">
        <w:rPr>
          <w:rFonts w:ascii="Times New Roman" w:eastAsia="Times New Roman" w:hAnsi="Times New Roman" w:cs="Times New Roman"/>
          <w:i/>
          <w:color w:val="000080"/>
          <w:sz w:val="24"/>
          <w:szCs w:val="24"/>
        </w:rPr>
        <w:t xml:space="preserve"> 2020</w:t>
      </w:r>
      <w:r w:rsidRPr="004F5D71">
        <w:rPr>
          <w:rFonts w:ascii="Times New Roman" w:eastAsia="Times New Roman" w:hAnsi="Times New Roman" w:cs="Times New Roman"/>
          <w:i/>
          <w:color w:val="000080"/>
          <w:sz w:val="24"/>
          <w:szCs w:val="24"/>
        </w:rPr>
        <w:br/>
      </w:r>
    </w:p>
    <w:bookmarkStart w:id="0" w:name="_Toc59637311" w:displacedByCustomXml="next"/>
    <w:bookmarkStart w:id="1" w:name="_Toc59628138" w:displacedByCustomXml="next"/>
    <w:sdt>
      <w:sdtPr>
        <w:rPr>
          <w:rFonts w:ascii="Times New Roman" w:hAnsi="Times New Roman" w:cs="Times New Roman"/>
          <w:b/>
          <w:bCs/>
          <w:sz w:val="24"/>
          <w:szCs w:val="24"/>
        </w:rPr>
        <w:id w:val="1710918241"/>
        <w:docPartObj>
          <w:docPartGallery w:val="Table of Contents"/>
          <w:docPartUnique/>
        </w:docPartObj>
      </w:sdtPr>
      <w:sdtEndPr>
        <w:rPr>
          <w:rFonts w:asciiTheme="minorHAnsi" w:hAnsiTheme="minorHAnsi" w:cstheme="minorBidi"/>
          <w:noProof/>
          <w:sz w:val="22"/>
          <w:szCs w:val="22"/>
        </w:rPr>
      </w:sdtEndPr>
      <w:sdtContent>
        <w:p w14:paraId="1FBA72EB" w14:textId="15D5E153" w:rsidR="00F94266" w:rsidRDefault="00F94266" w:rsidP="00F94266">
          <w:pPr>
            <w:jc w:val="center"/>
            <w:rPr>
              <w:rFonts w:eastAsiaTheme="minorEastAsia"/>
              <w:noProof/>
            </w:rPr>
          </w:pPr>
          <w:r w:rsidRPr="00F94266">
            <w:rPr>
              <w:rFonts w:ascii="Times New Roman" w:hAnsi="Times New Roman" w:cs="Times New Roman"/>
              <w:b/>
              <w:bCs/>
              <w:sz w:val="24"/>
              <w:szCs w:val="24"/>
              <w:u w:val="single"/>
            </w:rPr>
            <mc:AlternateContent>
              <mc:Choice Requires="wps">
                <w:drawing>
                  <wp:anchor distT="0" distB="0" distL="114300" distR="114300" simplePos="0" relativeHeight="251656191" behindDoc="1" locked="0" layoutInCell="1" allowOverlap="1" wp14:anchorId="5A053728" wp14:editId="7CD70896">
                    <wp:simplePos x="0" y="0"/>
                    <wp:positionH relativeFrom="column">
                      <wp:posOffset>-38100</wp:posOffset>
                    </wp:positionH>
                    <wp:positionV relativeFrom="paragraph">
                      <wp:posOffset>9525</wp:posOffset>
                    </wp:positionV>
                    <wp:extent cx="6080760" cy="1211580"/>
                    <wp:effectExtent l="0" t="0" r="0" b="7620"/>
                    <wp:wrapNone/>
                    <wp:docPr id="1" name="Rectangle 1"/>
                    <wp:cNvGraphicFramePr/>
                    <a:graphic xmlns:a="http://schemas.openxmlformats.org/drawingml/2006/main">
                      <a:graphicData uri="http://schemas.microsoft.com/office/word/2010/wordprocessingShape">
                        <wps:wsp>
                          <wps:cNvSpPr/>
                          <wps:spPr>
                            <a:xfrm>
                              <a:off x="0" y="0"/>
                              <a:ext cx="6080760" cy="12115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4AE65" id="Rectangle 1" o:spid="_x0000_s1026" style="position:absolute;margin-left:-3pt;margin-top:.75pt;width:478.8pt;height:95.4pt;z-index:-251660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" fillcolor="#d8d8d8 [2732]" stroked="f" strokeweight="1pt"/>
                </w:pict>
              </mc:Fallback>
            </mc:AlternateContent>
          </w:r>
          <w:bookmarkEnd w:id="0"/>
          <w:r w:rsidRPr="00F94266">
            <w:rPr>
              <w:rFonts w:ascii="Times New Roman" w:hAnsi="Times New Roman" w:cs="Times New Roman"/>
              <w:b/>
              <w:bCs/>
              <w:sz w:val="24"/>
              <w:szCs w:val="24"/>
              <w:u w:val="single"/>
            </w:rPr>
            <w:fldChar w:fldCharType="begin"/>
          </w:r>
          <w:r w:rsidRPr="00F94266">
            <w:rPr>
              <w:rFonts w:ascii="Times New Roman" w:hAnsi="Times New Roman" w:cs="Times New Roman"/>
              <w:b/>
              <w:bCs/>
              <w:sz w:val="24"/>
              <w:szCs w:val="24"/>
              <w:u w:val="single"/>
            </w:rPr>
            <w:instrText xml:space="preserve"> TOC \o "1-3" \h \z \u </w:instrText>
          </w:r>
          <w:r w:rsidRPr="00F94266">
            <w:rPr>
              <w:rFonts w:ascii="Times New Roman" w:hAnsi="Times New Roman" w:cs="Times New Roman"/>
              <w:b/>
              <w:bCs/>
              <w:sz w:val="24"/>
              <w:szCs w:val="24"/>
              <w:u w:val="single"/>
            </w:rPr>
            <w:fldChar w:fldCharType="separate"/>
          </w:r>
          <w:r w:rsidRPr="00F94266">
            <w:rPr>
              <w:rFonts w:ascii="Times New Roman" w:hAnsi="Times New Roman" w:cs="Times New Roman"/>
              <w:b/>
              <w:bCs/>
              <w:sz w:val="24"/>
              <w:szCs w:val="24"/>
              <w:u w:val="single"/>
            </w:rPr>
            <w:t>CONTENTS</w:t>
          </w:r>
        </w:p>
        <w:p w14:paraId="4ED77238" w14:textId="2DB2AFEA" w:rsidR="00F94266" w:rsidRDefault="00F94266">
          <w:pPr>
            <w:pStyle w:val="TOC2"/>
            <w:tabs>
              <w:tab w:val="right" w:leader="dot" w:pos="9350"/>
            </w:tabs>
            <w:rPr>
              <w:rFonts w:eastAsiaTheme="minorEastAsia"/>
              <w:noProof/>
            </w:rPr>
          </w:pPr>
          <w:hyperlink w:anchor="_Toc59637312" w:history="1">
            <w:r w:rsidRPr="008D1267">
              <w:rPr>
                <w:rStyle w:val="Hyperlink"/>
                <w:rFonts w:ascii="Times New Roman" w:hAnsi="Times New Roman" w:cs="Times New Roman"/>
                <w:b/>
                <w:bCs/>
                <w:noProof/>
              </w:rPr>
              <w:t>General Questions on Surveillance Testing Policy</w:t>
            </w:r>
            <w:r>
              <w:rPr>
                <w:noProof/>
                <w:webHidden/>
              </w:rPr>
              <w:tab/>
            </w:r>
            <w:r>
              <w:rPr>
                <w:noProof/>
                <w:webHidden/>
              </w:rPr>
              <w:fldChar w:fldCharType="begin"/>
            </w:r>
            <w:r>
              <w:rPr>
                <w:noProof/>
                <w:webHidden/>
              </w:rPr>
              <w:instrText xml:space="preserve"> PAGEREF _Toc59637312 \h </w:instrText>
            </w:r>
            <w:r>
              <w:rPr>
                <w:noProof/>
                <w:webHidden/>
              </w:rPr>
            </w:r>
            <w:r>
              <w:rPr>
                <w:noProof/>
                <w:webHidden/>
              </w:rPr>
              <w:fldChar w:fldCharType="separate"/>
            </w:r>
            <w:r>
              <w:rPr>
                <w:noProof/>
                <w:webHidden/>
              </w:rPr>
              <w:t>1</w:t>
            </w:r>
            <w:r>
              <w:rPr>
                <w:noProof/>
                <w:webHidden/>
              </w:rPr>
              <w:fldChar w:fldCharType="end"/>
            </w:r>
          </w:hyperlink>
        </w:p>
        <w:p w14:paraId="3A45A7CF" w14:textId="5B52C01B" w:rsidR="00F94266" w:rsidRDefault="00F94266">
          <w:pPr>
            <w:pStyle w:val="TOC2"/>
            <w:tabs>
              <w:tab w:val="right" w:leader="dot" w:pos="9350"/>
            </w:tabs>
            <w:rPr>
              <w:rFonts w:eastAsiaTheme="minorEastAsia"/>
              <w:noProof/>
            </w:rPr>
          </w:pPr>
          <w:hyperlink w:anchor="_Toc59637313" w:history="1">
            <w:r w:rsidRPr="008D1267">
              <w:rPr>
                <w:rStyle w:val="Hyperlink"/>
                <w:rFonts w:ascii="Times New Roman" w:hAnsi="Times New Roman" w:cs="Times New Roman"/>
                <w:b/>
                <w:bCs/>
                <w:noProof/>
              </w:rPr>
              <w:t>FAQs for Contracting &amp; Reimbursement Extension</w:t>
            </w:r>
            <w:r>
              <w:rPr>
                <w:noProof/>
                <w:webHidden/>
              </w:rPr>
              <w:tab/>
            </w:r>
            <w:r>
              <w:rPr>
                <w:noProof/>
                <w:webHidden/>
              </w:rPr>
              <w:fldChar w:fldCharType="begin"/>
            </w:r>
            <w:r>
              <w:rPr>
                <w:noProof/>
                <w:webHidden/>
              </w:rPr>
              <w:instrText xml:space="preserve"> PAGEREF _Toc59637313 \h </w:instrText>
            </w:r>
            <w:r>
              <w:rPr>
                <w:noProof/>
                <w:webHidden/>
              </w:rPr>
            </w:r>
            <w:r>
              <w:rPr>
                <w:noProof/>
                <w:webHidden/>
              </w:rPr>
              <w:fldChar w:fldCharType="separate"/>
            </w:r>
            <w:r>
              <w:rPr>
                <w:noProof/>
                <w:webHidden/>
              </w:rPr>
              <w:t>3</w:t>
            </w:r>
            <w:r>
              <w:rPr>
                <w:noProof/>
                <w:webHidden/>
              </w:rPr>
              <w:fldChar w:fldCharType="end"/>
            </w:r>
          </w:hyperlink>
        </w:p>
        <w:p w14:paraId="1D438565" w14:textId="63B54D4C" w:rsidR="00F94266" w:rsidRDefault="00F94266">
          <w:pPr>
            <w:pStyle w:val="TOC2"/>
            <w:tabs>
              <w:tab w:val="right" w:leader="dot" w:pos="9350"/>
            </w:tabs>
            <w:rPr>
              <w:rFonts w:eastAsiaTheme="minorEastAsia"/>
              <w:noProof/>
            </w:rPr>
          </w:pPr>
          <w:hyperlink w:anchor="_Toc59637314" w:history="1">
            <w:r w:rsidRPr="008D1267">
              <w:rPr>
                <w:rStyle w:val="Hyperlink"/>
                <w:rFonts w:ascii="Times New Roman" w:hAnsi="Times New Roman" w:cs="Times New Roman"/>
                <w:b/>
                <w:bCs/>
                <w:noProof/>
              </w:rPr>
              <w:t>FAQs for Abbott BinaxNOW tests</w:t>
            </w:r>
            <w:r>
              <w:rPr>
                <w:noProof/>
                <w:webHidden/>
              </w:rPr>
              <w:tab/>
            </w:r>
            <w:r>
              <w:rPr>
                <w:noProof/>
                <w:webHidden/>
              </w:rPr>
              <w:fldChar w:fldCharType="begin"/>
            </w:r>
            <w:r>
              <w:rPr>
                <w:noProof/>
                <w:webHidden/>
              </w:rPr>
              <w:instrText xml:space="preserve"> PAGEREF _Toc59637314 \h </w:instrText>
            </w:r>
            <w:r>
              <w:rPr>
                <w:noProof/>
                <w:webHidden/>
              </w:rPr>
            </w:r>
            <w:r>
              <w:rPr>
                <w:noProof/>
                <w:webHidden/>
              </w:rPr>
              <w:fldChar w:fldCharType="separate"/>
            </w:r>
            <w:r>
              <w:rPr>
                <w:noProof/>
                <w:webHidden/>
              </w:rPr>
              <w:t>4</w:t>
            </w:r>
            <w:r>
              <w:rPr>
                <w:noProof/>
                <w:webHidden/>
              </w:rPr>
              <w:fldChar w:fldCharType="end"/>
            </w:r>
          </w:hyperlink>
        </w:p>
        <w:p w14:paraId="42613B53" w14:textId="690CB312" w:rsidR="00F94266" w:rsidRDefault="00F94266">
          <w:pPr>
            <w:pStyle w:val="TOC2"/>
            <w:tabs>
              <w:tab w:val="right" w:leader="dot" w:pos="9350"/>
            </w:tabs>
            <w:rPr>
              <w:rFonts w:eastAsiaTheme="minorEastAsia"/>
              <w:noProof/>
            </w:rPr>
          </w:pPr>
          <w:hyperlink w:anchor="_Toc59637315" w:history="1">
            <w:r w:rsidRPr="008D1267">
              <w:rPr>
                <w:rStyle w:val="Hyperlink"/>
                <w:rFonts w:ascii="Times New Roman" w:hAnsi="Times New Roman" w:cs="Times New Roman"/>
                <w:b/>
                <w:bCs/>
                <w:noProof/>
              </w:rPr>
              <w:t>FAQs for Color Genomics tests</w:t>
            </w:r>
            <w:r>
              <w:rPr>
                <w:noProof/>
                <w:webHidden/>
              </w:rPr>
              <w:tab/>
            </w:r>
            <w:r>
              <w:rPr>
                <w:noProof/>
                <w:webHidden/>
              </w:rPr>
              <w:fldChar w:fldCharType="begin"/>
            </w:r>
            <w:r>
              <w:rPr>
                <w:noProof/>
                <w:webHidden/>
              </w:rPr>
              <w:instrText xml:space="preserve"> PAGEREF _Toc59637315 \h </w:instrText>
            </w:r>
            <w:r>
              <w:rPr>
                <w:noProof/>
                <w:webHidden/>
              </w:rPr>
            </w:r>
            <w:r>
              <w:rPr>
                <w:noProof/>
                <w:webHidden/>
              </w:rPr>
              <w:fldChar w:fldCharType="separate"/>
            </w:r>
            <w:r>
              <w:rPr>
                <w:noProof/>
                <w:webHidden/>
              </w:rPr>
              <w:t>5</w:t>
            </w:r>
            <w:r>
              <w:rPr>
                <w:noProof/>
                <w:webHidden/>
              </w:rPr>
              <w:fldChar w:fldCharType="end"/>
            </w:r>
          </w:hyperlink>
        </w:p>
        <w:p w14:paraId="27E971C7" w14:textId="272DAB82" w:rsidR="00F94266" w:rsidRDefault="00F94266" w:rsidP="00F94266">
          <w:pPr>
            <w:rPr>
              <w:b/>
              <w:bCs/>
              <w:noProof/>
            </w:rPr>
          </w:pPr>
          <w:r>
            <w:rPr>
              <w:b/>
              <w:bCs/>
              <w:noProof/>
            </w:rPr>
            <w:fldChar w:fldCharType="end"/>
          </w:r>
        </w:p>
      </w:sdtContent>
    </w:sdt>
    <w:p w14:paraId="3AC31CD4" w14:textId="51FB71D7" w:rsidR="008D6EC5" w:rsidRPr="008D6EC5" w:rsidRDefault="008D6EC5" w:rsidP="008D6EC5">
      <w:pPr>
        <w:pStyle w:val="Heading2"/>
        <w:rPr>
          <w:rFonts w:ascii="Times New Roman" w:hAnsi="Times New Roman" w:cs="Times New Roman"/>
          <w:b/>
          <w:bCs/>
        </w:rPr>
      </w:pPr>
      <w:bookmarkStart w:id="2" w:name="_Toc59637312"/>
      <w:r w:rsidRPr="004F5D71">
        <w:rPr>
          <w:rFonts w:ascii="Times New Roman" w:hAnsi="Times New Roman" w:cs="Times New Roman"/>
          <w:b/>
          <w:bCs/>
        </w:rPr>
        <w:t>General Questions on Surveillance Testing Policy</w:t>
      </w:r>
      <w:bookmarkEnd w:id="1"/>
      <w:bookmarkEnd w:id="2"/>
    </w:p>
    <w:p w14:paraId="2A0DA3C1" w14:textId="77777777" w:rsidR="008D6EC5" w:rsidRDefault="008D6EC5" w:rsidP="008D6EC5">
      <w:pPr>
        <w:shd w:val="clear" w:color="auto" w:fill="FFFFFF"/>
        <w:spacing w:after="0" w:line="240" w:lineRule="auto"/>
        <w:ind w:left="720"/>
        <w:rPr>
          <w:rFonts w:ascii="Times New Roman" w:hAnsi="Times New Roman" w:cs="Times New Roman"/>
          <w:b/>
          <w:bCs/>
        </w:rPr>
      </w:pPr>
    </w:p>
    <w:p w14:paraId="42F7B8AC" w14:textId="6A35B92B" w:rsidR="005A305B" w:rsidRDefault="008228A3" w:rsidP="005A305B">
      <w:pPr>
        <w:numPr>
          <w:ilvl w:val="0"/>
          <w:numId w:val="2"/>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Is enrolling in one of the two testing access options </w:t>
      </w:r>
      <w:proofErr w:type="gramStart"/>
      <w:r>
        <w:rPr>
          <w:rFonts w:ascii="Times New Roman" w:hAnsi="Times New Roman" w:cs="Times New Roman"/>
          <w:b/>
          <w:bCs/>
        </w:rPr>
        <w:t>mandatory</w:t>
      </w:r>
      <w:proofErr w:type="gramEnd"/>
      <w:r w:rsidR="00D178B5">
        <w:rPr>
          <w:rFonts w:ascii="Times New Roman" w:hAnsi="Times New Roman" w:cs="Times New Roman"/>
          <w:b/>
          <w:bCs/>
        </w:rPr>
        <w:t>?</w:t>
      </w:r>
      <w:r>
        <w:rPr>
          <w:rFonts w:ascii="Times New Roman" w:hAnsi="Times New Roman" w:cs="Times New Roman"/>
          <w:b/>
          <w:bCs/>
        </w:rPr>
        <w:t xml:space="preserve"> What happens if my organization does not enroll?</w:t>
      </w:r>
    </w:p>
    <w:p w14:paraId="041FA421" w14:textId="68E27879" w:rsidR="00D178B5" w:rsidRDefault="005A305B" w:rsidP="008228A3">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Organizations </w:t>
      </w:r>
      <w:r w:rsidR="008228A3">
        <w:rPr>
          <w:rFonts w:ascii="Times New Roman" w:hAnsi="Times New Roman" w:cs="Times New Roman"/>
        </w:rPr>
        <w:t>which do not enroll in one of the two testing access options will not receive</w:t>
      </w:r>
      <w:r w:rsidR="000A3106">
        <w:rPr>
          <w:rFonts w:ascii="Times New Roman" w:hAnsi="Times New Roman" w:cs="Times New Roman"/>
        </w:rPr>
        <w:t xml:space="preserve"> surveillance</w:t>
      </w:r>
      <w:r w:rsidR="008228A3">
        <w:rPr>
          <w:rFonts w:ascii="Times New Roman" w:hAnsi="Times New Roman" w:cs="Times New Roman"/>
        </w:rPr>
        <w:t xml:space="preserve"> testing resources from EOHHS or reimbursement for testing costs once the original EOHHS Surveillance Testing Contract expires on December 31</w:t>
      </w:r>
      <w:r w:rsidR="008228A3" w:rsidRPr="008228A3">
        <w:rPr>
          <w:rFonts w:ascii="Times New Roman" w:hAnsi="Times New Roman" w:cs="Times New Roman"/>
          <w:vertAlign w:val="superscript"/>
        </w:rPr>
        <w:t>st</w:t>
      </w:r>
      <w:r w:rsidR="008228A3">
        <w:rPr>
          <w:rFonts w:ascii="Times New Roman" w:hAnsi="Times New Roman" w:cs="Times New Roman"/>
        </w:rPr>
        <w:t>, 2020.</w:t>
      </w:r>
    </w:p>
    <w:p w14:paraId="68764D87" w14:textId="1D891B5F" w:rsidR="008228A3" w:rsidRDefault="008228A3" w:rsidP="008228A3">
      <w:pPr>
        <w:shd w:val="clear" w:color="auto" w:fill="FFFFFF"/>
        <w:spacing w:after="0" w:line="240" w:lineRule="auto"/>
        <w:ind w:left="720"/>
        <w:rPr>
          <w:rFonts w:ascii="Times New Roman" w:hAnsi="Times New Roman" w:cs="Times New Roman"/>
        </w:rPr>
      </w:pPr>
    </w:p>
    <w:p w14:paraId="2FEBD17F" w14:textId="3DB0D480" w:rsidR="008228A3" w:rsidRDefault="008228A3" w:rsidP="008228A3">
      <w:pPr>
        <w:shd w:val="clear" w:color="auto" w:fill="FFFFFF"/>
        <w:spacing w:after="0" w:line="240" w:lineRule="auto"/>
        <w:ind w:left="720"/>
        <w:rPr>
          <w:rFonts w:ascii="Times New Roman" w:hAnsi="Times New Roman" w:cs="Times New Roman"/>
        </w:rPr>
      </w:pPr>
      <w:r>
        <w:rPr>
          <w:rFonts w:ascii="Times New Roman" w:hAnsi="Times New Roman" w:cs="Times New Roman"/>
        </w:rPr>
        <w:t>Except for the limited contract extension through January 20</w:t>
      </w:r>
      <w:r w:rsidRPr="008228A3">
        <w:rPr>
          <w:rFonts w:ascii="Times New Roman" w:hAnsi="Times New Roman" w:cs="Times New Roman"/>
          <w:vertAlign w:val="superscript"/>
        </w:rPr>
        <w:t>th</w:t>
      </w:r>
      <w:r>
        <w:rPr>
          <w:rFonts w:ascii="Times New Roman" w:hAnsi="Times New Roman" w:cs="Times New Roman"/>
        </w:rPr>
        <w:t>, 2021, which is available to organizations which enroll in one of the testing access options, EOHHS will not continue to offer reimbursement for COVID-19 surveillance testing costs in 2021.</w:t>
      </w:r>
    </w:p>
    <w:p w14:paraId="0E08F49D" w14:textId="77777777" w:rsidR="00D178B5" w:rsidRDefault="00D178B5" w:rsidP="005A305B">
      <w:pPr>
        <w:shd w:val="clear" w:color="auto" w:fill="FFFFFF"/>
        <w:spacing w:after="0" w:line="240" w:lineRule="auto"/>
        <w:ind w:left="720"/>
        <w:rPr>
          <w:rFonts w:ascii="Times New Roman" w:hAnsi="Times New Roman" w:cs="Times New Roman"/>
        </w:rPr>
      </w:pPr>
    </w:p>
    <w:p w14:paraId="6F06F19B" w14:textId="77777777" w:rsidR="00091A6C" w:rsidRPr="00D945C4" w:rsidRDefault="00091A6C" w:rsidP="00091A6C">
      <w:pPr>
        <w:numPr>
          <w:ilvl w:val="0"/>
          <w:numId w:val="1"/>
        </w:num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Can organizations enroll to receive both Color tests and BinaxNOW tests?</w:t>
      </w:r>
    </w:p>
    <w:p w14:paraId="786FB66D" w14:textId="77777777" w:rsidR="00091A6C" w:rsidRDefault="00091A6C" w:rsidP="00091A6C">
      <w:pPr>
        <w:spacing w:after="0" w:line="240" w:lineRule="auto"/>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No, any single site in this program cannot receive both Color and BinaxNOW tests from EOHHS. Organizations must choose one of the two options for receiving testing resources.</w:t>
      </w:r>
    </w:p>
    <w:p w14:paraId="70B65BD2" w14:textId="77777777" w:rsidR="00091A6C" w:rsidRDefault="00091A6C" w:rsidP="00091A6C">
      <w:pPr>
        <w:spacing w:after="0" w:line="240" w:lineRule="auto"/>
        <w:ind w:left="720"/>
        <w:textAlignment w:val="baseline"/>
        <w:rPr>
          <w:rFonts w:ascii="Times New Roman" w:eastAsia="Times New Roman" w:hAnsi="Times New Roman" w:cs="Times New Roman"/>
          <w:color w:val="000000"/>
        </w:rPr>
      </w:pPr>
    </w:p>
    <w:p w14:paraId="1EED7A9B" w14:textId="316BE52A" w:rsidR="00091A6C" w:rsidRPr="00091A6C" w:rsidRDefault="00091A6C" w:rsidP="00091A6C">
      <w:pPr>
        <w:spacing w:after="0" w:line="240" w:lineRule="auto"/>
        <w:ind w:left="720"/>
        <w:textAlignment w:val="baseline"/>
        <w:rPr>
          <w:rFonts w:ascii="Times New Roman" w:hAnsi="Times New Roman" w:cs="Times New Roman"/>
          <w:iCs/>
        </w:rPr>
      </w:pPr>
      <w:r>
        <w:rPr>
          <w:rFonts w:ascii="Times New Roman" w:eastAsia="Times New Roman" w:hAnsi="Times New Roman" w:cs="Times New Roman"/>
          <w:color w:val="000000"/>
        </w:rPr>
        <w:t xml:space="preserve">However, large organizations which operate sites with significantly different operational models and which are primarily funded by different EOHHS agencies (e.g., an organization which operates both DCF sites and DDS sites) may elect to receive Color tests at sites funded by one agency, and BinaxNOW tests at a site funded by a different agency. Organizations which wish to bifurcate the testing access options they access as described above must email </w:t>
      </w:r>
      <w:hyperlink r:id="rId10" w:history="1">
        <w:r w:rsidRPr="0042612D">
          <w:rPr>
            <w:rStyle w:val="Hyperlink"/>
            <w:rFonts w:ascii="Times New Roman" w:eastAsia="Times New Roman" w:hAnsi="Times New Roman" w:cs="Times New Roman"/>
          </w:rPr>
          <w:t>EOHHSTestingContract@mass.gov</w:t>
        </w:r>
      </w:hyperlink>
      <w:r>
        <w:rPr>
          <w:rFonts w:ascii="Times New Roman" w:eastAsia="Times New Roman" w:hAnsi="Times New Roman" w:cs="Times New Roman"/>
          <w:color w:val="000000"/>
        </w:rPr>
        <w:t xml:space="preserve"> explaining which sites will receive each type of test. </w:t>
      </w:r>
    </w:p>
    <w:p w14:paraId="178554C4" w14:textId="77777777" w:rsidR="00091A6C" w:rsidRDefault="00091A6C" w:rsidP="00091A6C">
      <w:pPr>
        <w:shd w:val="clear" w:color="auto" w:fill="FFFFFF"/>
        <w:spacing w:after="0" w:line="240" w:lineRule="auto"/>
        <w:ind w:left="720"/>
        <w:rPr>
          <w:rFonts w:ascii="Times New Roman" w:eastAsia="Times New Roman" w:hAnsi="Times New Roman" w:cs="Times New Roman"/>
          <w:b/>
          <w:bCs/>
          <w:color w:val="000000"/>
        </w:rPr>
      </w:pPr>
    </w:p>
    <w:p w14:paraId="4E85D813" w14:textId="09CAF616" w:rsidR="00091A6C" w:rsidRDefault="00091A6C"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Will EOHHS provide more than 2 tests per staff member and 1 test per resident for every </w:t>
      </w:r>
      <w:proofErr w:type="gramStart"/>
      <w:r>
        <w:rPr>
          <w:rFonts w:ascii="Times New Roman" w:hAnsi="Times New Roman" w:cs="Times New Roman"/>
          <w:b/>
          <w:bCs/>
        </w:rPr>
        <w:t>4 week</w:t>
      </w:r>
      <w:proofErr w:type="gramEnd"/>
      <w:r>
        <w:rPr>
          <w:rFonts w:ascii="Times New Roman" w:hAnsi="Times New Roman" w:cs="Times New Roman"/>
          <w:b/>
          <w:bCs/>
        </w:rPr>
        <w:t xml:space="preserve"> time period to programs which have positive cases?</w:t>
      </w:r>
    </w:p>
    <w:p w14:paraId="40233835" w14:textId="5E06DCB9" w:rsidR="00091A6C" w:rsidRDefault="00091A6C" w:rsidP="00091A6C">
      <w:pPr>
        <w:shd w:val="clear" w:color="auto" w:fill="FFFFFF"/>
        <w:spacing w:after="0" w:line="240" w:lineRule="auto"/>
        <w:ind w:left="720"/>
        <w:rPr>
          <w:rFonts w:ascii="Times New Roman" w:hAnsi="Times New Roman" w:cs="Times New Roman"/>
        </w:rPr>
      </w:pPr>
      <w:r w:rsidRPr="00091A6C">
        <w:rPr>
          <w:rFonts w:ascii="Times New Roman" w:hAnsi="Times New Roman" w:cs="Times New Roman"/>
        </w:rPr>
        <w:t>No</w:t>
      </w:r>
      <w:r>
        <w:rPr>
          <w:rFonts w:ascii="Times New Roman" w:hAnsi="Times New Roman" w:cs="Times New Roman"/>
        </w:rPr>
        <w:t xml:space="preserve">, at this time EOHHS is only able to supply 2 tests per staff member and 1 test per resident for every </w:t>
      </w:r>
      <w:proofErr w:type="gramStart"/>
      <w:r>
        <w:rPr>
          <w:rFonts w:ascii="Times New Roman" w:hAnsi="Times New Roman" w:cs="Times New Roman"/>
        </w:rPr>
        <w:t>4 week</w:t>
      </w:r>
      <w:proofErr w:type="gramEnd"/>
      <w:r>
        <w:rPr>
          <w:rFonts w:ascii="Times New Roman" w:hAnsi="Times New Roman" w:cs="Times New Roman"/>
        </w:rPr>
        <w:t xml:space="preserve"> time period (i.e., two testing periods). These tests should be used according to the </w:t>
      </w:r>
      <w:hyperlink r:id="rId11" w:history="1">
        <w:r w:rsidRPr="00091A6C">
          <w:rPr>
            <w:rStyle w:val="Hyperlink"/>
            <w:rFonts w:ascii="Times New Roman" w:hAnsi="Times New Roman" w:cs="Times New Roman"/>
          </w:rPr>
          <w:t>EOHHS Congregate Care Surveillance Testing Guidance</w:t>
        </w:r>
      </w:hyperlink>
      <w:r>
        <w:rPr>
          <w:rFonts w:ascii="Times New Roman" w:hAnsi="Times New Roman" w:cs="Times New Roman"/>
        </w:rPr>
        <w:t>.</w:t>
      </w:r>
    </w:p>
    <w:p w14:paraId="1AC529D6" w14:textId="18E2A8CC" w:rsidR="00091A6C" w:rsidRDefault="00091A6C" w:rsidP="00091A6C">
      <w:pPr>
        <w:shd w:val="clear" w:color="auto" w:fill="FFFFFF"/>
        <w:spacing w:after="0" w:line="240" w:lineRule="auto"/>
        <w:ind w:left="720"/>
        <w:rPr>
          <w:rFonts w:ascii="Times New Roman" w:hAnsi="Times New Roman" w:cs="Times New Roman"/>
        </w:rPr>
      </w:pPr>
    </w:p>
    <w:p w14:paraId="4A725A79" w14:textId="294C4C4F" w:rsidR="00091A6C" w:rsidRPr="00091A6C" w:rsidRDefault="00091A6C" w:rsidP="00091A6C">
      <w:pPr>
        <w:shd w:val="clear" w:color="auto" w:fill="FFFFFF"/>
        <w:spacing w:after="0" w:line="240" w:lineRule="auto"/>
        <w:ind w:left="720"/>
        <w:rPr>
          <w:rFonts w:ascii="Times New Roman" w:hAnsi="Times New Roman" w:cs="Times New Roman"/>
        </w:rPr>
      </w:pPr>
      <w:r>
        <w:rPr>
          <w:rFonts w:ascii="Times New Roman" w:hAnsi="Times New Roman" w:cs="Times New Roman"/>
        </w:rPr>
        <w:t>If organizations require or desire to test staff and residents more frequently than the supply of tests from EOHHS allows, then organizations should seek testing options which are covered by insurance.</w:t>
      </w:r>
    </w:p>
    <w:p w14:paraId="2D150E54" w14:textId="77777777" w:rsidR="00091A6C" w:rsidRDefault="00091A6C" w:rsidP="00091A6C">
      <w:pPr>
        <w:shd w:val="clear" w:color="auto" w:fill="FFFFFF"/>
        <w:spacing w:after="0" w:line="240" w:lineRule="auto"/>
        <w:ind w:left="720"/>
        <w:rPr>
          <w:rFonts w:ascii="Times New Roman" w:hAnsi="Times New Roman" w:cs="Times New Roman"/>
          <w:b/>
          <w:bCs/>
        </w:rPr>
      </w:pPr>
    </w:p>
    <w:p w14:paraId="7E5EE2FE" w14:textId="0A0D18A4" w:rsidR="00091A6C" w:rsidRDefault="00091A6C"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Can my organization enroll to receive Color or BinaxNOW tests after the January 6</w:t>
      </w:r>
      <w:r w:rsidRPr="00091A6C">
        <w:rPr>
          <w:rFonts w:ascii="Times New Roman" w:hAnsi="Times New Roman" w:cs="Times New Roman"/>
          <w:b/>
          <w:bCs/>
          <w:vertAlign w:val="superscript"/>
        </w:rPr>
        <w:t>th</w:t>
      </w:r>
      <w:r>
        <w:rPr>
          <w:rFonts w:ascii="Times New Roman" w:hAnsi="Times New Roman" w:cs="Times New Roman"/>
          <w:b/>
          <w:bCs/>
        </w:rPr>
        <w:t xml:space="preserve"> deadline?</w:t>
      </w:r>
    </w:p>
    <w:p w14:paraId="0A45D940" w14:textId="54DC455B" w:rsidR="00091A6C" w:rsidRDefault="00091A6C" w:rsidP="00091A6C">
      <w:pPr>
        <w:shd w:val="clear" w:color="auto" w:fill="FFFFFF"/>
        <w:spacing w:after="0" w:line="240" w:lineRule="auto"/>
        <w:ind w:left="720"/>
        <w:rPr>
          <w:rFonts w:ascii="Times New Roman" w:hAnsi="Times New Roman" w:cs="Times New Roman"/>
        </w:rPr>
      </w:pPr>
      <w:r w:rsidRPr="00091A6C">
        <w:rPr>
          <w:rFonts w:ascii="Times New Roman" w:hAnsi="Times New Roman" w:cs="Times New Roman"/>
        </w:rPr>
        <w:lastRenderedPageBreak/>
        <w:t>Organizations</w:t>
      </w:r>
      <w:r>
        <w:rPr>
          <w:rFonts w:ascii="Times New Roman" w:hAnsi="Times New Roman" w:cs="Times New Roman"/>
        </w:rPr>
        <w:t xml:space="preserve"> which fail to enroll in either the Color or BinaxNOW testing options by the end of the day on January 6</w:t>
      </w:r>
      <w:r w:rsidRPr="00091A6C">
        <w:rPr>
          <w:rFonts w:ascii="Times New Roman" w:hAnsi="Times New Roman" w:cs="Times New Roman"/>
          <w:vertAlign w:val="superscript"/>
        </w:rPr>
        <w:t>th</w:t>
      </w:r>
      <w:r>
        <w:rPr>
          <w:rFonts w:ascii="Times New Roman" w:hAnsi="Times New Roman" w:cs="Times New Roman"/>
        </w:rPr>
        <w:t>, 2021 risk facing a delay in their ability to access testing</w:t>
      </w:r>
      <w:r w:rsidR="001D3EED">
        <w:rPr>
          <w:rFonts w:ascii="Times New Roman" w:hAnsi="Times New Roman" w:cs="Times New Roman"/>
        </w:rPr>
        <w:t>. In order to ensure organizations are correctly processed and enrolled in time to receive test kits for the period following January 20</w:t>
      </w:r>
      <w:r w:rsidR="001D3EED" w:rsidRPr="001D3EED">
        <w:rPr>
          <w:rFonts w:ascii="Times New Roman" w:hAnsi="Times New Roman" w:cs="Times New Roman"/>
          <w:vertAlign w:val="superscript"/>
        </w:rPr>
        <w:t>th</w:t>
      </w:r>
      <w:r w:rsidR="001D3EED">
        <w:rPr>
          <w:rFonts w:ascii="Times New Roman" w:hAnsi="Times New Roman" w:cs="Times New Roman"/>
        </w:rPr>
        <w:t>, 2021, organizations must enroll by the January 6</w:t>
      </w:r>
      <w:r w:rsidR="001D3EED" w:rsidRPr="001D3EED">
        <w:rPr>
          <w:rFonts w:ascii="Times New Roman" w:hAnsi="Times New Roman" w:cs="Times New Roman"/>
          <w:vertAlign w:val="superscript"/>
        </w:rPr>
        <w:t>th</w:t>
      </w:r>
      <w:r w:rsidR="001D3EED">
        <w:rPr>
          <w:rFonts w:ascii="Times New Roman" w:hAnsi="Times New Roman" w:cs="Times New Roman"/>
        </w:rPr>
        <w:t xml:space="preserve"> deadline. </w:t>
      </w:r>
    </w:p>
    <w:p w14:paraId="47DD102D" w14:textId="77777777" w:rsidR="00091A6C" w:rsidRDefault="00091A6C" w:rsidP="00091A6C">
      <w:pPr>
        <w:shd w:val="clear" w:color="auto" w:fill="FFFFFF"/>
        <w:spacing w:after="0" w:line="240" w:lineRule="auto"/>
        <w:ind w:left="720"/>
        <w:rPr>
          <w:rFonts w:ascii="Times New Roman" w:hAnsi="Times New Roman" w:cs="Times New Roman"/>
        </w:rPr>
      </w:pPr>
    </w:p>
    <w:p w14:paraId="732F67BF" w14:textId="215D92FF" w:rsidR="00091A6C" w:rsidRPr="00091A6C" w:rsidRDefault="001D3EED" w:rsidP="00091A6C">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Organizations which elect to receive BinaxNOW test </w:t>
      </w:r>
      <w:proofErr w:type="gramStart"/>
      <w:r>
        <w:rPr>
          <w:rFonts w:ascii="Times New Roman" w:hAnsi="Times New Roman" w:cs="Times New Roman"/>
        </w:rPr>
        <w:t>kits, but</w:t>
      </w:r>
      <w:proofErr w:type="gramEnd"/>
      <w:r>
        <w:rPr>
          <w:rFonts w:ascii="Times New Roman" w:hAnsi="Times New Roman" w:cs="Times New Roman"/>
        </w:rPr>
        <w:t xml:space="preserve"> are prevented from enrolling due to delays in receiving a CLIA waiver may enroll after January 6</w:t>
      </w:r>
      <w:r w:rsidRPr="001D3EED">
        <w:rPr>
          <w:rFonts w:ascii="Times New Roman" w:hAnsi="Times New Roman" w:cs="Times New Roman"/>
          <w:vertAlign w:val="superscript"/>
        </w:rPr>
        <w:t>th</w:t>
      </w:r>
      <w:r>
        <w:rPr>
          <w:rFonts w:ascii="Times New Roman" w:hAnsi="Times New Roman" w:cs="Times New Roman"/>
        </w:rPr>
        <w:t>, provided the CLIA waiver application was submitted prior to that date.</w:t>
      </w:r>
    </w:p>
    <w:p w14:paraId="62EB6F42" w14:textId="77777777" w:rsidR="00091A6C" w:rsidRDefault="00091A6C" w:rsidP="00091A6C">
      <w:pPr>
        <w:shd w:val="clear" w:color="auto" w:fill="FFFFFF"/>
        <w:spacing w:after="0" w:line="240" w:lineRule="auto"/>
        <w:ind w:left="720"/>
        <w:rPr>
          <w:rFonts w:ascii="Times New Roman" w:hAnsi="Times New Roman" w:cs="Times New Roman"/>
          <w:b/>
          <w:bCs/>
        </w:rPr>
      </w:pPr>
    </w:p>
    <w:p w14:paraId="61A01A24" w14:textId="133B3EF8" w:rsidR="001A1260" w:rsidRPr="001A1260" w:rsidRDefault="001A1260" w:rsidP="00FC525E">
      <w:pPr>
        <w:numPr>
          <w:ilvl w:val="0"/>
          <w:numId w:val="1"/>
        </w:numPr>
        <w:shd w:val="clear" w:color="auto" w:fill="FFFFFF"/>
        <w:spacing w:after="0" w:line="240" w:lineRule="auto"/>
        <w:rPr>
          <w:rFonts w:ascii="Times New Roman" w:hAnsi="Times New Roman" w:cs="Times New Roman"/>
          <w:b/>
          <w:bCs/>
        </w:rPr>
      </w:pPr>
      <w:r w:rsidRPr="001A1260">
        <w:rPr>
          <w:rFonts w:ascii="Times New Roman" w:hAnsi="Times New Roman" w:cs="Times New Roman"/>
          <w:b/>
          <w:bCs/>
        </w:rPr>
        <w:t>Does the testing guidance apply to foster care</w:t>
      </w:r>
      <w:r w:rsidR="008A1A34">
        <w:rPr>
          <w:rFonts w:ascii="Times New Roman" w:hAnsi="Times New Roman" w:cs="Times New Roman"/>
          <w:b/>
          <w:bCs/>
        </w:rPr>
        <w:t>, shared living,</w:t>
      </w:r>
      <w:r w:rsidRPr="001A1260">
        <w:rPr>
          <w:rFonts w:ascii="Times New Roman" w:hAnsi="Times New Roman" w:cs="Times New Roman"/>
          <w:b/>
          <w:bCs/>
        </w:rPr>
        <w:t xml:space="preserve"> or other independent </w:t>
      </w:r>
      <w:r w:rsidR="001735CE">
        <w:rPr>
          <w:rFonts w:ascii="Times New Roman" w:hAnsi="Times New Roman" w:cs="Times New Roman"/>
          <w:b/>
          <w:bCs/>
        </w:rPr>
        <w:t xml:space="preserve">/ scattered site </w:t>
      </w:r>
      <w:r w:rsidRPr="001A1260">
        <w:rPr>
          <w:rFonts w:ascii="Times New Roman" w:hAnsi="Times New Roman" w:cs="Times New Roman"/>
          <w:b/>
          <w:bCs/>
        </w:rPr>
        <w:t>residential settings?</w:t>
      </w:r>
    </w:p>
    <w:p w14:paraId="1496C6F8" w14:textId="528846DA" w:rsidR="008A1A34"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No, the guidance only applies to</w:t>
      </w:r>
      <w:r w:rsidR="003B1147">
        <w:rPr>
          <w:rFonts w:ascii="Times New Roman" w:hAnsi="Times New Roman" w:cs="Times New Roman"/>
        </w:rPr>
        <w:t xml:space="preserve"> </w:t>
      </w:r>
      <w:r w:rsidRPr="00517249">
        <w:rPr>
          <w:rFonts w:ascii="Times New Roman" w:hAnsi="Times New Roman" w:cs="Times New Roman"/>
        </w:rPr>
        <w:t xml:space="preserve">congregate, or group, residential settings (typically two or more unrelated </w:t>
      </w:r>
      <w:r w:rsidR="003B1147">
        <w:rPr>
          <w:rFonts w:ascii="Times New Roman" w:hAnsi="Times New Roman" w:cs="Times New Roman"/>
        </w:rPr>
        <w:t>individuals</w:t>
      </w:r>
      <w:r w:rsidRPr="00517249">
        <w:rPr>
          <w:rFonts w:ascii="Times New Roman" w:hAnsi="Times New Roman" w:cs="Times New Roman"/>
        </w:rPr>
        <w:t xml:space="preserve"> living together with shift staff provision of care and service supports)</w:t>
      </w:r>
      <w:r w:rsidR="003B1147">
        <w:rPr>
          <w:rFonts w:ascii="Times New Roman" w:hAnsi="Times New Roman" w:cs="Times New Roman"/>
        </w:rPr>
        <w:t xml:space="preserve"> that are specified in Appendix A of the </w:t>
      </w:r>
      <w:hyperlink r:id="rId12" w:history="1">
        <w:r w:rsidR="001D3EED" w:rsidRPr="00091A6C">
          <w:rPr>
            <w:rStyle w:val="Hyperlink"/>
            <w:rFonts w:ascii="Times New Roman" w:hAnsi="Times New Roman" w:cs="Times New Roman"/>
          </w:rPr>
          <w:t>EOHHS Congregate Care Surveillance Testing Guidance</w:t>
        </w:r>
      </w:hyperlink>
      <w:r w:rsidRPr="00517249">
        <w:rPr>
          <w:rFonts w:ascii="Times New Roman" w:hAnsi="Times New Roman" w:cs="Times New Roman"/>
        </w:rPr>
        <w:t xml:space="preserve">. </w:t>
      </w:r>
    </w:p>
    <w:p w14:paraId="199D1AB2" w14:textId="77777777" w:rsidR="008A1A34" w:rsidRDefault="008A1A34" w:rsidP="00517249">
      <w:pPr>
        <w:shd w:val="clear" w:color="auto" w:fill="FFFFFF"/>
        <w:spacing w:after="0" w:line="240" w:lineRule="auto"/>
        <w:ind w:left="720"/>
        <w:rPr>
          <w:rFonts w:ascii="Times New Roman" w:hAnsi="Times New Roman" w:cs="Times New Roman"/>
        </w:rPr>
      </w:pPr>
    </w:p>
    <w:p w14:paraId="68F02EDA" w14:textId="399778D2" w:rsidR="00517249" w:rsidRPr="00517249"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 xml:space="preserve">Organizations providing residential services to individuals in settings which are not residential congregate care settings (e.g., care and support provided within a family household setting or by a designated paid caregiver such as a roommate who also lives in the household) </w:t>
      </w:r>
      <w:r w:rsidR="00C21DC6">
        <w:rPr>
          <w:rFonts w:ascii="Times New Roman" w:hAnsi="Times New Roman" w:cs="Times New Roman"/>
        </w:rPr>
        <w:t>are not</w:t>
      </w:r>
      <w:r w:rsidRPr="00517249">
        <w:rPr>
          <w:rFonts w:ascii="Times New Roman" w:hAnsi="Times New Roman" w:cs="Times New Roman"/>
        </w:rPr>
        <w:t xml:space="preserve"> part of this surveillance testing program.</w:t>
      </w:r>
    </w:p>
    <w:p w14:paraId="6142436D" w14:textId="77777777" w:rsidR="00517249" w:rsidRPr="00517249" w:rsidRDefault="00517249" w:rsidP="00517249">
      <w:pPr>
        <w:shd w:val="clear" w:color="auto" w:fill="FFFFFF"/>
        <w:spacing w:after="0" w:line="240" w:lineRule="auto"/>
        <w:ind w:left="720"/>
        <w:rPr>
          <w:rFonts w:ascii="Times New Roman" w:hAnsi="Times New Roman" w:cs="Times New Roman"/>
        </w:rPr>
      </w:pPr>
    </w:p>
    <w:p w14:paraId="66D2AC89" w14:textId="5C5BD8E7" w:rsidR="00A2453C" w:rsidRPr="008228A3" w:rsidRDefault="00517249" w:rsidP="008228A3">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Organizations which provide services in both qualifying residential congregate care settings and non-residential or non-congregate settings should only include staff and individuals in the residential congregate care settings when submitting contract materials and reporting testing.</w:t>
      </w:r>
    </w:p>
    <w:p w14:paraId="7F7545B5" w14:textId="77777777" w:rsidR="000D5BD4" w:rsidRDefault="000D5BD4" w:rsidP="008228A3">
      <w:pPr>
        <w:shd w:val="clear" w:color="auto" w:fill="FFFFFF"/>
        <w:spacing w:after="0" w:line="240" w:lineRule="auto"/>
        <w:rPr>
          <w:rFonts w:ascii="Times New Roman" w:eastAsia="Times New Roman" w:hAnsi="Times New Roman" w:cs="Times New Roman"/>
          <w:b/>
          <w:bCs/>
          <w:color w:val="000000"/>
        </w:rPr>
      </w:pPr>
    </w:p>
    <w:p w14:paraId="7CFC35C2" w14:textId="590EFFF2" w:rsidR="00B32BFA" w:rsidRDefault="001C0A6A"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Can</w:t>
      </w:r>
      <w:r w:rsidR="00B32BFA">
        <w:rPr>
          <w:rFonts w:ascii="Times New Roman" w:eastAsia="Times New Roman" w:hAnsi="Times New Roman" w:cs="Times New Roman"/>
          <w:b/>
          <w:bCs/>
          <w:color w:val="000000"/>
        </w:rPr>
        <w:t xml:space="preserve"> staff who are tested for surveillance testing purposes </w:t>
      </w:r>
      <w:r w:rsidR="0093763A">
        <w:rPr>
          <w:rFonts w:ascii="Times New Roman" w:eastAsia="Times New Roman" w:hAnsi="Times New Roman" w:cs="Times New Roman"/>
          <w:b/>
          <w:bCs/>
          <w:color w:val="000000"/>
        </w:rPr>
        <w:t>continue working</w:t>
      </w:r>
      <w:r>
        <w:rPr>
          <w:rFonts w:ascii="Times New Roman" w:eastAsia="Times New Roman" w:hAnsi="Times New Roman" w:cs="Times New Roman"/>
          <w:b/>
          <w:bCs/>
          <w:color w:val="000000"/>
        </w:rPr>
        <w:t xml:space="preserve"> before their results are returned</w:t>
      </w:r>
      <w:r w:rsidR="0093763A">
        <w:rPr>
          <w:rFonts w:ascii="Times New Roman" w:eastAsia="Times New Roman" w:hAnsi="Times New Roman" w:cs="Times New Roman"/>
          <w:b/>
          <w:bCs/>
          <w:color w:val="000000"/>
        </w:rPr>
        <w:t>?</w:t>
      </w:r>
    </w:p>
    <w:p w14:paraId="2D0293E6" w14:textId="345E3B71" w:rsidR="00AB7C9A" w:rsidRDefault="0093763A">
      <w:pPr>
        <w:shd w:val="clear" w:color="auto" w:fill="FFFFFF"/>
        <w:spacing w:after="0" w:line="240" w:lineRule="auto"/>
        <w:ind w:left="720"/>
        <w:rPr>
          <w:rFonts w:ascii="Times New Roman" w:eastAsia="Times New Roman" w:hAnsi="Times New Roman" w:cs="Times New Roman"/>
          <w:color w:val="000000"/>
        </w:rPr>
      </w:pPr>
      <w:r w:rsidRPr="00EC29F4">
        <w:rPr>
          <w:rFonts w:ascii="Times New Roman" w:eastAsia="Times New Roman" w:hAnsi="Times New Roman" w:cs="Times New Roman"/>
          <w:color w:val="000000"/>
        </w:rPr>
        <w:t xml:space="preserve">Yes, </w:t>
      </w:r>
      <w:r>
        <w:rPr>
          <w:rFonts w:ascii="Times New Roman" w:eastAsia="Times New Roman" w:hAnsi="Times New Roman" w:cs="Times New Roman"/>
          <w:color w:val="000000"/>
        </w:rPr>
        <w:t xml:space="preserve">asymptomatic staff who are </w:t>
      </w:r>
      <w:r w:rsidR="00AB7C9A">
        <w:rPr>
          <w:rFonts w:ascii="Times New Roman" w:eastAsia="Times New Roman" w:hAnsi="Times New Roman" w:cs="Times New Roman"/>
          <w:color w:val="000000"/>
        </w:rPr>
        <w:t>tested only</w:t>
      </w:r>
      <w:r>
        <w:rPr>
          <w:rFonts w:ascii="Times New Roman" w:eastAsia="Times New Roman" w:hAnsi="Times New Roman" w:cs="Times New Roman"/>
          <w:color w:val="000000"/>
        </w:rPr>
        <w:t xml:space="preserve"> for surveillance purposes should continue working</w:t>
      </w:r>
      <w:r w:rsidR="001C0A6A">
        <w:rPr>
          <w:rFonts w:ascii="Times New Roman" w:eastAsia="Times New Roman" w:hAnsi="Times New Roman" w:cs="Times New Roman"/>
          <w:color w:val="000000"/>
        </w:rPr>
        <w:t xml:space="preserve"> until their results are returned. Administering a test for surveillance purposes has no effect on whether a staff member should be quarantined or isolated.</w:t>
      </w:r>
    </w:p>
    <w:p w14:paraId="1E1B2636" w14:textId="12959606" w:rsidR="00A301E6" w:rsidRDefault="00A301E6">
      <w:pPr>
        <w:shd w:val="clear" w:color="auto" w:fill="FFFFFF"/>
        <w:spacing w:after="0" w:line="240" w:lineRule="auto"/>
        <w:ind w:left="720"/>
        <w:rPr>
          <w:rFonts w:ascii="Times New Roman" w:eastAsia="Times New Roman" w:hAnsi="Times New Roman" w:cs="Times New Roman"/>
          <w:color w:val="000000"/>
        </w:rPr>
      </w:pPr>
    </w:p>
    <w:p w14:paraId="0FA924B2" w14:textId="7E6F6BBB" w:rsidR="00A301E6" w:rsidRDefault="00A301E6">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who are symptomatic or close contacts of a confirmed or clinically diagnosed COVID-19 positive case should follow </w:t>
      </w:r>
      <w:r w:rsidR="00BC2ABF">
        <w:rPr>
          <w:rFonts w:ascii="Times New Roman" w:eastAsia="Times New Roman" w:hAnsi="Times New Roman" w:cs="Times New Roman"/>
          <w:color w:val="000000"/>
        </w:rPr>
        <w:t xml:space="preserve">the </w:t>
      </w:r>
      <w:hyperlink r:id="rId13" w:history="1">
        <w:r w:rsidR="00BC2ABF" w:rsidRPr="00BC2ABF">
          <w:rPr>
            <w:rStyle w:val="Hyperlink"/>
            <w:rFonts w:ascii="Times New Roman" w:eastAsia="Times New Roman" w:hAnsi="Times New Roman" w:cs="Times New Roman"/>
          </w:rPr>
          <w:t>DPH Occupational Exposure &amp; Return to Work Guidance</w:t>
        </w:r>
      </w:hyperlink>
      <w:r w:rsidR="00BC2ABF">
        <w:rPr>
          <w:rFonts w:ascii="Times New Roman" w:eastAsia="Times New Roman" w:hAnsi="Times New Roman" w:cs="Times New Roman"/>
          <w:color w:val="000000"/>
        </w:rPr>
        <w:t>.</w:t>
      </w:r>
    </w:p>
    <w:p w14:paraId="00C91D1E" w14:textId="77777777" w:rsidR="00A2453C" w:rsidRPr="004F5D71" w:rsidRDefault="00A2453C" w:rsidP="00A2453C">
      <w:pPr>
        <w:shd w:val="clear" w:color="auto" w:fill="FFFFFF"/>
        <w:spacing w:after="0" w:line="240" w:lineRule="auto"/>
        <w:rPr>
          <w:rFonts w:ascii="Times New Roman" w:hAnsi="Times New Roman" w:cs="Times New Roman"/>
        </w:rPr>
      </w:pPr>
    </w:p>
    <w:p w14:paraId="3E6EB6BB" w14:textId="77777777" w:rsidR="00A2453C" w:rsidRPr="004F5D71" w:rsidRDefault="00A2453C" w:rsidP="00FC525E">
      <w:pPr>
        <w:numPr>
          <w:ilvl w:val="0"/>
          <w:numId w:val="1"/>
        </w:numPr>
        <w:shd w:val="clear" w:color="auto" w:fill="FFFFFF"/>
        <w:spacing w:after="0" w:line="240" w:lineRule="auto"/>
        <w:rPr>
          <w:rFonts w:ascii="Times New Roman" w:hAnsi="Times New Roman" w:cs="Times New Roman"/>
        </w:rPr>
      </w:pPr>
      <w:r w:rsidRPr="004F5D71">
        <w:rPr>
          <w:rFonts w:ascii="Times New Roman" w:hAnsi="Times New Roman" w:cs="Times New Roman"/>
          <w:b/>
          <w:bCs/>
        </w:rPr>
        <w:t>Do staff that previously tested positive for COVID-19 need to be re-tested?</w:t>
      </w:r>
    </w:p>
    <w:p w14:paraId="161E1C1E" w14:textId="77777777" w:rsidR="00B95596" w:rsidRDefault="00A2453C" w:rsidP="00117530">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 xml:space="preserve">No, staff </w:t>
      </w:r>
      <w:r w:rsidR="00DB315C">
        <w:rPr>
          <w:rFonts w:ascii="Times New Roman" w:hAnsi="Times New Roman" w:cs="Times New Roman"/>
        </w:rPr>
        <w:t xml:space="preserve">who previously tested positive </w:t>
      </w:r>
      <w:r w:rsidRPr="004F5D71">
        <w:rPr>
          <w:rFonts w:ascii="Times New Roman" w:hAnsi="Times New Roman" w:cs="Times New Roman"/>
        </w:rPr>
        <w:t>do not need to be re-tested</w:t>
      </w:r>
      <w:r w:rsidR="00DB315C">
        <w:rPr>
          <w:rFonts w:ascii="Times New Roman" w:hAnsi="Times New Roman" w:cs="Times New Roman"/>
        </w:rPr>
        <w:t xml:space="preserve"> and will not be included in the number of total staff (i.e</w:t>
      </w:r>
      <w:r w:rsidR="00552D68">
        <w:rPr>
          <w:rFonts w:ascii="Times New Roman" w:hAnsi="Times New Roman" w:cs="Times New Roman"/>
        </w:rPr>
        <w:t>.</w:t>
      </w:r>
      <w:r w:rsidR="00DB315C">
        <w:rPr>
          <w:rFonts w:ascii="Times New Roman" w:hAnsi="Times New Roman" w:cs="Times New Roman"/>
        </w:rPr>
        <w:t xml:space="preserve">, they will not be included in the denominator) when determining if </w:t>
      </w:r>
      <w:r w:rsidR="008A64F7">
        <w:rPr>
          <w:rFonts w:ascii="Times New Roman" w:hAnsi="Times New Roman" w:cs="Times New Roman"/>
        </w:rPr>
        <w:t>a</w:t>
      </w:r>
      <w:r w:rsidR="00B95596">
        <w:rPr>
          <w:rFonts w:ascii="Times New Roman" w:hAnsi="Times New Roman" w:cs="Times New Roman"/>
        </w:rPr>
        <w:t>n organization is in compliance with the testing guidance</w:t>
      </w:r>
      <w:r w:rsidRPr="004F5D71">
        <w:rPr>
          <w:rFonts w:ascii="Times New Roman" w:hAnsi="Times New Roman" w:cs="Times New Roman"/>
        </w:rPr>
        <w:t>.</w:t>
      </w:r>
    </w:p>
    <w:p w14:paraId="7BC58725" w14:textId="77777777" w:rsidR="00B95596" w:rsidRDefault="00B95596" w:rsidP="00117530">
      <w:pPr>
        <w:shd w:val="clear" w:color="auto" w:fill="FFFFFF"/>
        <w:spacing w:after="0" w:line="240" w:lineRule="auto"/>
        <w:ind w:left="720"/>
        <w:rPr>
          <w:rFonts w:ascii="Times New Roman" w:hAnsi="Times New Roman" w:cs="Times New Roman"/>
        </w:rPr>
      </w:pPr>
    </w:p>
    <w:p w14:paraId="7A27268F" w14:textId="2AF68528" w:rsidR="00117530" w:rsidRPr="004F5D71" w:rsidRDefault="00B95596" w:rsidP="00B95596">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However, as described in </w:t>
      </w:r>
      <w:hyperlink r:id="rId14" w:history="1">
        <w:r w:rsidR="00E44318" w:rsidRPr="00E44318">
          <w:rPr>
            <w:rStyle w:val="Hyperlink"/>
            <w:rFonts w:ascii="Times New Roman" w:hAnsi="Times New Roman" w:cs="Times New Roman"/>
          </w:rPr>
          <w:t>DPH Guidance</w:t>
        </w:r>
      </w:hyperlink>
      <w:r>
        <w:rPr>
          <w:rFonts w:ascii="Times New Roman" w:hAnsi="Times New Roman" w:cs="Times New Roman"/>
        </w:rPr>
        <w:t>, there are circumstances which warrant the re-testing of previously positive individuals. If these circumstances arise, previously positive staff should consider treatment and testing options in consultation with their healthcare provider.</w:t>
      </w:r>
    </w:p>
    <w:p w14:paraId="71F076F9" w14:textId="77777777" w:rsidR="00B95596" w:rsidRDefault="00B95596" w:rsidP="00B95596">
      <w:pPr>
        <w:shd w:val="clear" w:color="auto" w:fill="FFFFFF"/>
        <w:spacing w:after="0" w:line="240" w:lineRule="auto"/>
        <w:ind w:left="720"/>
        <w:rPr>
          <w:rFonts w:ascii="Times New Roman" w:hAnsi="Times New Roman" w:cs="Times New Roman"/>
          <w:b/>
          <w:bCs/>
        </w:rPr>
      </w:pPr>
    </w:p>
    <w:p w14:paraId="2E929FCC" w14:textId="554792CC" w:rsidR="000D5BD4" w:rsidRDefault="000D5BD4"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Does the </w:t>
      </w:r>
      <w:r w:rsidR="004D3BE5">
        <w:rPr>
          <w:rFonts w:ascii="Times New Roman" w:hAnsi="Times New Roman" w:cs="Times New Roman"/>
          <w:b/>
          <w:bCs/>
        </w:rPr>
        <w:t>“</w:t>
      </w:r>
      <w:r>
        <w:rPr>
          <w:rFonts w:ascii="Times New Roman" w:hAnsi="Times New Roman" w:cs="Times New Roman"/>
          <w:b/>
          <w:bCs/>
        </w:rPr>
        <w:t>staff</w:t>
      </w:r>
      <w:r w:rsidR="004D3BE5">
        <w:rPr>
          <w:rFonts w:ascii="Times New Roman" w:hAnsi="Times New Roman" w:cs="Times New Roman"/>
          <w:b/>
          <w:bCs/>
        </w:rPr>
        <w:t>”</w:t>
      </w:r>
      <w:r>
        <w:rPr>
          <w:rFonts w:ascii="Times New Roman" w:hAnsi="Times New Roman" w:cs="Times New Roman"/>
          <w:b/>
          <w:bCs/>
        </w:rPr>
        <w:t xml:space="preserve"> definition include individuals who have no contractual relationship with the congregate care organization</w:t>
      </w:r>
      <w:r w:rsidR="000A3106">
        <w:rPr>
          <w:rFonts w:ascii="Times New Roman" w:hAnsi="Times New Roman" w:cs="Times New Roman"/>
          <w:b/>
          <w:bCs/>
        </w:rPr>
        <w:t xml:space="preserve"> such as VNAs or Home Health workers</w:t>
      </w:r>
      <w:r>
        <w:rPr>
          <w:rFonts w:ascii="Times New Roman" w:hAnsi="Times New Roman" w:cs="Times New Roman"/>
          <w:b/>
          <w:bCs/>
        </w:rPr>
        <w:t>?</w:t>
      </w:r>
    </w:p>
    <w:p w14:paraId="08F7FB86" w14:textId="4B1A6D36" w:rsidR="000D5BD4" w:rsidRPr="00711B8F" w:rsidRDefault="000D5BD4" w:rsidP="000D5BD4">
      <w:pPr>
        <w:shd w:val="clear" w:color="auto" w:fill="FFFFFF"/>
        <w:spacing w:after="0" w:line="240" w:lineRule="auto"/>
        <w:ind w:left="720"/>
        <w:rPr>
          <w:rFonts w:ascii="Times New Roman" w:hAnsi="Times New Roman" w:cs="Times New Roman"/>
        </w:rPr>
      </w:pPr>
      <w:r>
        <w:rPr>
          <w:rFonts w:ascii="Times New Roman" w:hAnsi="Times New Roman" w:cs="Times New Roman"/>
        </w:rPr>
        <w:t>Yes, these</w:t>
      </w:r>
      <w:r w:rsidR="004D3BE5">
        <w:rPr>
          <w:rFonts w:ascii="Times New Roman" w:hAnsi="Times New Roman" w:cs="Times New Roman"/>
        </w:rPr>
        <w:t xml:space="preserve"> individuals </w:t>
      </w:r>
      <w:r w:rsidRPr="00711B8F">
        <w:rPr>
          <w:rFonts w:ascii="Times New Roman" w:hAnsi="Times New Roman" w:cs="Times New Roman"/>
        </w:rPr>
        <w:t xml:space="preserve">are included in the definition of “staff” for the purposes of the surveillance testing guidance, and organizations </w:t>
      </w:r>
      <w:r w:rsidR="000A3106">
        <w:rPr>
          <w:rFonts w:ascii="Times New Roman" w:hAnsi="Times New Roman" w:cs="Times New Roman"/>
        </w:rPr>
        <w:t xml:space="preserve">should include all individuals who will be regularly reporting to a site </w:t>
      </w:r>
      <w:r w:rsidRPr="00711B8F">
        <w:rPr>
          <w:rFonts w:ascii="Times New Roman" w:hAnsi="Times New Roman" w:cs="Times New Roman"/>
        </w:rPr>
        <w:t xml:space="preserve">during </w:t>
      </w:r>
      <w:r w:rsidR="000A3106">
        <w:rPr>
          <w:rFonts w:ascii="Times New Roman" w:hAnsi="Times New Roman" w:cs="Times New Roman"/>
        </w:rPr>
        <w:t xml:space="preserve">any given </w:t>
      </w:r>
      <w:r w:rsidRPr="00711B8F">
        <w:rPr>
          <w:rFonts w:ascii="Times New Roman" w:hAnsi="Times New Roman" w:cs="Times New Roman"/>
        </w:rPr>
        <w:t>testing period.</w:t>
      </w:r>
    </w:p>
    <w:p w14:paraId="2C78F6EF" w14:textId="77777777" w:rsidR="000D5BD4" w:rsidRPr="00711B8F" w:rsidRDefault="000D5BD4" w:rsidP="000D5BD4">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 xml:space="preserve"> </w:t>
      </w:r>
    </w:p>
    <w:p w14:paraId="2C0B574C" w14:textId="1C6CB6B8" w:rsidR="000D5BD4" w:rsidRPr="00711B8F" w:rsidRDefault="000D5BD4" w:rsidP="000D5BD4">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 xml:space="preserve">In the event an organization is unable to organize testing on behalf of </w:t>
      </w:r>
      <w:r w:rsidR="000A3106">
        <w:rPr>
          <w:rFonts w:ascii="Times New Roman" w:hAnsi="Times New Roman" w:cs="Times New Roman"/>
        </w:rPr>
        <w:t xml:space="preserve">a </w:t>
      </w:r>
      <w:r w:rsidRPr="00711B8F">
        <w:rPr>
          <w:rFonts w:ascii="Times New Roman" w:hAnsi="Times New Roman" w:cs="Times New Roman"/>
        </w:rPr>
        <w:t xml:space="preserve">VNA </w:t>
      </w:r>
      <w:r w:rsidR="000A3106">
        <w:rPr>
          <w:rFonts w:ascii="Times New Roman" w:hAnsi="Times New Roman" w:cs="Times New Roman"/>
        </w:rPr>
        <w:t xml:space="preserve">or Home Health worker </w:t>
      </w:r>
      <w:r w:rsidRPr="00711B8F">
        <w:rPr>
          <w:rFonts w:ascii="Times New Roman" w:hAnsi="Times New Roman" w:cs="Times New Roman"/>
        </w:rPr>
        <w:t xml:space="preserve">before they visit the site, </w:t>
      </w:r>
      <w:r w:rsidR="000A3106">
        <w:rPr>
          <w:rFonts w:ascii="Times New Roman" w:hAnsi="Times New Roman" w:cs="Times New Roman"/>
        </w:rPr>
        <w:t xml:space="preserve">this individual </w:t>
      </w:r>
      <w:r w:rsidRPr="00711B8F">
        <w:rPr>
          <w:rFonts w:ascii="Times New Roman" w:hAnsi="Times New Roman" w:cs="Times New Roman"/>
        </w:rPr>
        <w:t xml:space="preserve">should not be prevented from providing services </w:t>
      </w:r>
      <w:r w:rsidRPr="00711B8F">
        <w:rPr>
          <w:rFonts w:ascii="Times New Roman" w:hAnsi="Times New Roman" w:cs="Times New Roman"/>
        </w:rPr>
        <w:lastRenderedPageBreak/>
        <w:t xml:space="preserve">while the organization works to obtain testing on their behalf. Consistent with other staff protocols, </w:t>
      </w:r>
      <w:r w:rsidR="000A3106">
        <w:rPr>
          <w:rFonts w:ascii="Times New Roman" w:hAnsi="Times New Roman" w:cs="Times New Roman"/>
        </w:rPr>
        <w:t xml:space="preserve">these individuals </w:t>
      </w:r>
      <w:r w:rsidRPr="00711B8F">
        <w:rPr>
          <w:rFonts w:ascii="Times New Roman" w:hAnsi="Times New Roman" w:cs="Times New Roman"/>
        </w:rPr>
        <w:t>should be screened prior to entry and wear appropriate PPE.</w:t>
      </w:r>
    </w:p>
    <w:p w14:paraId="68FFC6BE" w14:textId="77777777" w:rsidR="000D5BD4" w:rsidRDefault="000D5BD4" w:rsidP="00711B8F">
      <w:pPr>
        <w:shd w:val="clear" w:color="auto" w:fill="FFFFFF"/>
        <w:spacing w:after="0" w:line="240" w:lineRule="auto"/>
        <w:ind w:left="720"/>
        <w:rPr>
          <w:rFonts w:ascii="Times New Roman" w:hAnsi="Times New Roman" w:cs="Times New Roman"/>
          <w:b/>
          <w:bCs/>
        </w:rPr>
      </w:pPr>
    </w:p>
    <w:p w14:paraId="1490C719" w14:textId="77777777" w:rsidR="001D3EED" w:rsidRPr="004F5D71" w:rsidRDefault="001D3EED" w:rsidP="001D3EED">
      <w:pPr>
        <w:numPr>
          <w:ilvl w:val="0"/>
          <w:numId w:val="1"/>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Does this include agency</w:t>
      </w:r>
      <w:r>
        <w:rPr>
          <w:rFonts w:ascii="Times New Roman" w:hAnsi="Times New Roman" w:cs="Times New Roman"/>
          <w:b/>
          <w:bCs/>
        </w:rPr>
        <w:t xml:space="preserve"> or per diem</w:t>
      </w:r>
      <w:r w:rsidRPr="004F5D71">
        <w:rPr>
          <w:rFonts w:ascii="Times New Roman" w:hAnsi="Times New Roman" w:cs="Times New Roman"/>
          <w:b/>
          <w:bCs/>
        </w:rPr>
        <w:t xml:space="preserve"> staff?</w:t>
      </w:r>
    </w:p>
    <w:p w14:paraId="1132CCC5" w14:textId="77777777" w:rsidR="001D3EED" w:rsidRDefault="001D3EED" w:rsidP="001D3EED">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 xml:space="preserve">Yes, per diem and agency staff </w:t>
      </w:r>
      <w:r>
        <w:rPr>
          <w:rFonts w:ascii="Times New Roman" w:hAnsi="Times New Roman" w:cs="Times New Roman"/>
        </w:rPr>
        <w:t>should be included as staff for surveillance testing purposes if they work a shift during a bi-weekly testing period.</w:t>
      </w:r>
    </w:p>
    <w:p w14:paraId="19F11C0A" w14:textId="77777777" w:rsidR="003276CD" w:rsidRDefault="003276CD" w:rsidP="00786E89">
      <w:pPr>
        <w:shd w:val="clear" w:color="auto" w:fill="FFFFFF"/>
        <w:spacing w:after="0" w:line="240" w:lineRule="auto"/>
        <w:rPr>
          <w:rFonts w:ascii="Times New Roman" w:hAnsi="Times New Roman" w:cs="Times New Roman"/>
          <w:b/>
          <w:bCs/>
        </w:rPr>
      </w:pPr>
    </w:p>
    <w:p w14:paraId="59C2D4B6" w14:textId="7A532156" w:rsidR="00E92E46" w:rsidRDefault="00E92E46"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Should residents be tested under this guidance? If so, when should residents be tested?</w:t>
      </w:r>
    </w:p>
    <w:p w14:paraId="49A08705" w14:textId="134345B1" w:rsidR="00E92E46" w:rsidRPr="00DF4493" w:rsidRDefault="00E92E46" w:rsidP="00E92E46">
      <w:pPr>
        <w:shd w:val="clear" w:color="auto" w:fill="FFFFFF"/>
        <w:spacing w:after="0" w:line="240" w:lineRule="auto"/>
        <w:ind w:left="720"/>
        <w:rPr>
          <w:rFonts w:ascii="Times New Roman" w:hAnsi="Times New Roman" w:cs="Times New Roman"/>
        </w:rPr>
      </w:pPr>
      <w:r w:rsidRPr="00DF4493">
        <w:rPr>
          <w:rFonts w:ascii="Times New Roman" w:hAnsi="Times New Roman" w:cs="Times New Roman"/>
        </w:rPr>
        <w:t xml:space="preserve">Under this guidance, and </w:t>
      </w:r>
      <w:hyperlink r:id="rId15" w:history="1">
        <w:r w:rsidRPr="00C74587">
          <w:rPr>
            <w:rStyle w:val="Hyperlink"/>
            <w:rFonts w:ascii="Times New Roman" w:hAnsi="Times New Roman" w:cs="Times New Roman"/>
          </w:rPr>
          <w:t>DPH Guidance</w:t>
        </w:r>
      </w:hyperlink>
      <w:r w:rsidRPr="00DF4493">
        <w:rPr>
          <w:rFonts w:ascii="Times New Roman" w:hAnsi="Times New Roman" w:cs="Times New Roman"/>
        </w:rPr>
        <w:t>, residents should be tested when they have symptoms consistent with COVID-19, and when they are close contacts of a confirmed or clinically diagnosed case of COVID-19</w:t>
      </w:r>
      <w:r w:rsidR="00020234">
        <w:rPr>
          <w:rFonts w:ascii="Times New Roman" w:hAnsi="Times New Roman" w:cs="Times New Roman"/>
        </w:rPr>
        <w:t>.</w:t>
      </w:r>
    </w:p>
    <w:p w14:paraId="395BAEA1" w14:textId="0D47361A" w:rsidR="00E92E46" w:rsidRPr="00DF4493" w:rsidRDefault="00E92E46" w:rsidP="00E92E46">
      <w:pPr>
        <w:shd w:val="clear" w:color="auto" w:fill="FFFFFF"/>
        <w:spacing w:after="0" w:line="240" w:lineRule="auto"/>
        <w:ind w:left="720"/>
        <w:rPr>
          <w:rFonts w:ascii="Times New Roman" w:hAnsi="Times New Roman" w:cs="Times New Roman"/>
        </w:rPr>
      </w:pPr>
    </w:p>
    <w:p w14:paraId="7FF32E3A" w14:textId="7EF8A7A1" w:rsidR="00E92E46" w:rsidRPr="00DF4493" w:rsidRDefault="00E92E46" w:rsidP="00E92E46">
      <w:pPr>
        <w:shd w:val="clear" w:color="auto" w:fill="FFFFFF"/>
        <w:spacing w:after="0" w:line="240" w:lineRule="auto"/>
        <w:ind w:left="720"/>
        <w:rPr>
          <w:rFonts w:ascii="Times New Roman" w:hAnsi="Times New Roman" w:cs="Times New Roman"/>
        </w:rPr>
      </w:pPr>
      <w:r w:rsidRPr="00DF4493">
        <w:rPr>
          <w:rFonts w:ascii="Times New Roman" w:hAnsi="Times New Roman" w:cs="Times New Roman"/>
        </w:rPr>
        <w:t xml:space="preserve">Due to the </w:t>
      </w:r>
      <w:r w:rsidR="00DF4493" w:rsidRPr="00DF4493">
        <w:rPr>
          <w:rFonts w:ascii="Times New Roman" w:hAnsi="Times New Roman" w:cs="Times New Roman"/>
        </w:rPr>
        <w:t xml:space="preserve">difficulty of social distancing in most congregate settings, residents in sites where there has been a confirmed positive case of COVID-19 are highly likely to be close contacts if the setting is small (i.e., fewer than ~20 residents) or if residents are sharing physical space or mutual staff on-site. Therefore, residents in these settings </w:t>
      </w:r>
      <w:r w:rsidR="00896CA7">
        <w:rPr>
          <w:rFonts w:ascii="Times New Roman" w:hAnsi="Times New Roman" w:cs="Times New Roman"/>
        </w:rPr>
        <w:t>should</w:t>
      </w:r>
      <w:r w:rsidR="00DF4493" w:rsidRPr="00DF4493">
        <w:rPr>
          <w:rFonts w:ascii="Times New Roman" w:hAnsi="Times New Roman" w:cs="Times New Roman"/>
        </w:rPr>
        <w:t xml:space="preserve"> be tested when there is a positive case on-site.</w:t>
      </w:r>
    </w:p>
    <w:p w14:paraId="4B6A7612" w14:textId="48B97520" w:rsidR="00AA0394" w:rsidRDefault="00AA0394" w:rsidP="00AA0394">
      <w:pPr>
        <w:shd w:val="clear" w:color="auto" w:fill="FFFFFF"/>
        <w:spacing w:after="0" w:line="240" w:lineRule="auto"/>
        <w:rPr>
          <w:rFonts w:ascii="Times New Roman" w:hAnsi="Times New Roman" w:cs="Times New Roman"/>
          <w:b/>
          <w:bCs/>
        </w:rPr>
      </w:pPr>
    </w:p>
    <w:p w14:paraId="0DCE3640" w14:textId="4123A550" w:rsidR="00E345B0" w:rsidRPr="00A2453C" w:rsidRDefault="00E345B0" w:rsidP="00FC525E">
      <w:pPr>
        <w:numPr>
          <w:ilvl w:val="0"/>
          <w:numId w:val="1"/>
        </w:numPr>
        <w:shd w:val="clear" w:color="auto" w:fill="FFFFFF"/>
        <w:spacing w:after="0" w:line="240" w:lineRule="auto"/>
        <w:rPr>
          <w:rFonts w:ascii="Times New Roman" w:hAnsi="Times New Roman" w:cs="Times New Roman"/>
          <w:b/>
          <w:bCs/>
        </w:rPr>
      </w:pPr>
      <w:r w:rsidRPr="00A2453C">
        <w:rPr>
          <w:rFonts w:ascii="Times New Roman" w:hAnsi="Times New Roman" w:cs="Times New Roman"/>
          <w:b/>
          <w:bCs/>
        </w:rPr>
        <w:t xml:space="preserve">Are </w:t>
      </w:r>
      <w:r w:rsidR="00317C60">
        <w:rPr>
          <w:rFonts w:ascii="Times New Roman" w:hAnsi="Times New Roman" w:cs="Times New Roman"/>
          <w:b/>
          <w:bCs/>
        </w:rPr>
        <w:t>organizations</w:t>
      </w:r>
      <w:r w:rsidRPr="00A2453C">
        <w:rPr>
          <w:rFonts w:ascii="Times New Roman" w:hAnsi="Times New Roman" w:cs="Times New Roman"/>
          <w:b/>
          <w:bCs/>
        </w:rPr>
        <w:t xml:space="preserve"> responsible for ensuring that EMS personnel are tested before entering a </w:t>
      </w:r>
      <w:r>
        <w:rPr>
          <w:rFonts w:ascii="Times New Roman" w:hAnsi="Times New Roman" w:cs="Times New Roman"/>
          <w:b/>
          <w:bCs/>
        </w:rPr>
        <w:t>program site</w:t>
      </w:r>
      <w:r w:rsidRPr="00A2453C">
        <w:rPr>
          <w:rFonts w:ascii="Times New Roman" w:hAnsi="Times New Roman" w:cs="Times New Roman"/>
          <w:b/>
          <w:bCs/>
        </w:rPr>
        <w:t>?  </w:t>
      </w:r>
    </w:p>
    <w:p w14:paraId="3B03EFC5" w14:textId="77777777" w:rsidR="00E345B0" w:rsidRDefault="00E345B0" w:rsidP="00E345B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In the case of an emergency, EMS personnel are not required to be tested before entering a site, and sites </w:t>
      </w:r>
      <w:r w:rsidRPr="004E5F0B">
        <w:rPr>
          <w:rFonts w:ascii="Times New Roman" w:hAnsi="Times New Roman" w:cs="Times New Roman"/>
        </w:rPr>
        <w:t xml:space="preserve">may not condition entrance on testing or prevent appropriate medical personnel from entering the </w:t>
      </w:r>
      <w:r>
        <w:rPr>
          <w:rFonts w:ascii="Times New Roman" w:hAnsi="Times New Roman" w:cs="Times New Roman"/>
        </w:rPr>
        <w:t xml:space="preserve">site </w:t>
      </w:r>
      <w:r w:rsidRPr="004E5F0B">
        <w:rPr>
          <w:rFonts w:ascii="Times New Roman" w:hAnsi="Times New Roman" w:cs="Times New Roman"/>
        </w:rPr>
        <w:t>to render emergency medical services</w:t>
      </w:r>
      <w:r>
        <w:rPr>
          <w:rFonts w:ascii="Times New Roman" w:hAnsi="Times New Roman" w:cs="Times New Roman"/>
        </w:rPr>
        <w:t xml:space="preserve">. </w:t>
      </w:r>
    </w:p>
    <w:p w14:paraId="117D4509" w14:textId="251E6EB2" w:rsidR="00E345B0" w:rsidRDefault="00E345B0" w:rsidP="00ED51C6">
      <w:pPr>
        <w:spacing w:after="0" w:line="240" w:lineRule="auto"/>
        <w:ind w:left="720"/>
        <w:textAlignment w:val="baseline"/>
        <w:rPr>
          <w:rFonts w:ascii="Times New Roman" w:eastAsia="Times New Roman" w:hAnsi="Times New Roman" w:cs="Times New Roman"/>
          <w:b/>
          <w:bCs/>
          <w:color w:val="000000"/>
        </w:rPr>
      </w:pPr>
    </w:p>
    <w:p w14:paraId="1B896E92" w14:textId="0D572F17" w:rsidR="00D945C4" w:rsidRDefault="00D945C4" w:rsidP="00D945C4">
      <w:pPr>
        <w:pStyle w:val="ListParagraph"/>
        <w:numPr>
          <w:ilvl w:val="0"/>
          <w:numId w:val="1"/>
        </w:num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Are the </w:t>
      </w:r>
      <w:r w:rsidR="0091681D">
        <w:rPr>
          <w:rFonts w:ascii="Times New Roman" w:eastAsia="Times New Roman" w:hAnsi="Times New Roman" w:cs="Times New Roman"/>
          <w:b/>
          <w:bCs/>
          <w:color w:val="000000"/>
        </w:rPr>
        <w:t>county positivity</w:t>
      </w:r>
      <w:r>
        <w:rPr>
          <w:rFonts w:ascii="Times New Roman" w:eastAsia="Times New Roman" w:hAnsi="Times New Roman" w:cs="Times New Roman"/>
          <w:b/>
          <w:bCs/>
          <w:color w:val="000000"/>
        </w:rPr>
        <w:t xml:space="preserve"> rates based on the location of the program site, or on the staff member’s home address?</w:t>
      </w:r>
    </w:p>
    <w:p w14:paraId="47B38220" w14:textId="64B632C3" w:rsidR="00D945C4" w:rsidRPr="00711B8F" w:rsidRDefault="00D945C4" w:rsidP="00711B8F">
      <w:pPr>
        <w:pStyle w:val="ListParagraph"/>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91681D">
        <w:rPr>
          <w:rFonts w:ascii="Times New Roman" w:eastAsia="Times New Roman" w:hAnsi="Times New Roman" w:cs="Times New Roman"/>
          <w:color w:val="000000"/>
        </w:rPr>
        <w:t>county positivity</w:t>
      </w:r>
      <w:r>
        <w:rPr>
          <w:rFonts w:ascii="Times New Roman" w:eastAsia="Times New Roman" w:hAnsi="Times New Roman" w:cs="Times New Roman"/>
          <w:color w:val="000000"/>
        </w:rPr>
        <w:t xml:space="preserve"> rate </w:t>
      </w:r>
      <w:r w:rsidR="00043B5C">
        <w:rPr>
          <w:rFonts w:ascii="Times New Roman" w:eastAsia="Times New Roman" w:hAnsi="Times New Roman" w:cs="Times New Roman"/>
          <w:color w:val="000000"/>
        </w:rPr>
        <w:t xml:space="preserve">which determines the testing requirements for a site </w:t>
      </w:r>
      <w:r>
        <w:rPr>
          <w:rFonts w:ascii="Times New Roman" w:eastAsia="Times New Roman" w:hAnsi="Times New Roman" w:cs="Times New Roman"/>
          <w:color w:val="000000"/>
        </w:rPr>
        <w:t>is based on the location of the program site.</w:t>
      </w:r>
      <w:r w:rsidR="00043B5C">
        <w:rPr>
          <w:rFonts w:ascii="Times New Roman" w:eastAsia="Times New Roman" w:hAnsi="Times New Roman" w:cs="Times New Roman"/>
          <w:color w:val="000000"/>
        </w:rPr>
        <w:t xml:space="preserve"> Note that organizations are permitted to test staff more frequently than the requirements outlined in the guidance, up to two staff tests per month</w:t>
      </w:r>
    </w:p>
    <w:p w14:paraId="3FC89B7F" w14:textId="77777777" w:rsidR="00D945C4" w:rsidRDefault="00D945C4" w:rsidP="00ED51C6">
      <w:pPr>
        <w:spacing w:after="0" w:line="240" w:lineRule="auto"/>
        <w:ind w:left="720"/>
        <w:textAlignment w:val="baseline"/>
        <w:rPr>
          <w:rFonts w:ascii="Times New Roman" w:eastAsia="Times New Roman" w:hAnsi="Times New Roman" w:cs="Times New Roman"/>
          <w:b/>
          <w:bCs/>
          <w:color w:val="000000"/>
        </w:rPr>
      </w:pPr>
    </w:p>
    <w:p w14:paraId="42C1E3ED" w14:textId="3CC63F87" w:rsidR="00A2453C" w:rsidRPr="004F5D71" w:rsidRDefault="00A2453C" w:rsidP="00FC525E">
      <w:pPr>
        <w:numPr>
          <w:ilvl w:val="0"/>
          <w:numId w:val="1"/>
        </w:numPr>
        <w:spacing w:after="0" w:line="240" w:lineRule="auto"/>
        <w:textAlignment w:val="baseline"/>
        <w:rPr>
          <w:rFonts w:ascii="Times New Roman" w:eastAsia="Times New Roman" w:hAnsi="Times New Roman" w:cs="Times New Roman"/>
          <w:b/>
          <w:bCs/>
          <w:color w:val="000000"/>
        </w:rPr>
      </w:pPr>
      <w:r w:rsidRPr="004F5D71">
        <w:rPr>
          <w:rFonts w:ascii="Times New Roman" w:eastAsia="Times New Roman" w:hAnsi="Times New Roman" w:cs="Times New Roman"/>
          <w:b/>
          <w:bCs/>
          <w:color w:val="000000"/>
        </w:rPr>
        <w:t xml:space="preserve">Where can </w:t>
      </w:r>
      <w:r w:rsidR="00C65FF3">
        <w:rPr>
          <w:rFonts w:ascii="Times New Roman" w:eastAsia="Times New Roman" w:hAnsi="Times New Roman" w:cs="Times New Roman"/>
          <w:b/>
          <w:bCs/>
          <w:color w:val="000000"/>
        </w:rPr>
        <w:t>a</w:t>
      </w:r>
      <w:r w:rsidR="00B45BC8">
        <w:rPr>
          <w:rFonts w:ascii="Times New Roman" w:eastAsia="Times New Roman" w:hAnsi="Times New Roman" w:cs="Times New Roman"/>
          <w:b/>
          <w:bCs/>
          <w:color w:val="000000"/>
        </w:rPr>
        <w:t>n</w:t>
      </w:r>
      <w:r w:rsidR="00C65FF3">
        <w:rPr>
          <w:rFonts w:ascii="Times New Roman" w:eastAsia="Times New Roman" w:hAnsi="Times New Roman" w:cs="Times New Roman"/>
          <w:b/>
          <w:bCs/>
          <w:color w:val="000000"/>
        </w:rPr>
        <w:t xml:space="preserve"> </w:t>
      </w:r>
      <w:r w:rsidR="00B45BC8">
        <w:rPr>
          <w:rFonts w:ascii="Times New Roman" w:eastAsia="Times New Roman" w:hAnsi="Times New Roman" w:cs="Times New Roman"/>
          <w:b/>
          <w:bCs/>
          <w:color w:val="000000"/>
        </w:rPr>
        <w:t>organization or program site</w:t>
      </w:r>
      <w:r w:rsidRPr="004F5D71">
        <w:rPr>
          <w:rFonts w:ascii="Times New Roman" w:eastAsia="Times New Roman" w:hAnsi="Times New Roman" w:cs="Times New Roman"/>
          <w:b/>
          <w:bCs/>
          <w:color w:val="000000"/>
        </w:rPr>
        <w:t xml:space="preserve"> find the </w:t>
      </w:r>
      <w:r w:rsidR="0091681D">
        <w:rPr>
          <w:rFonts w:ascii="Times New Roman" w:eastAsia="Times New Roman" w:hAnsi="Times New Roman" w:cs="Times New Roman"/>
          <w:b/>
          <w:bCs/>
          <w:color w:val="000000"/>
        </w:rPr>
        <w:t>county positivity rate</w:t>
      </w:r>
      <w:r w:rsidRPr="004F5D71">
        <w:rPr>
          <w:rFonts w:ascii="Times New Roman" w:eastAsia="Times New Roman" w:hAnsi="Times New Roman" w:cs="Times New Roman"/>
          <w:b/>
          <w:bCs/>
          <w:color w:val="000000"/>
        </w:rPr>
        <w:t>? </w:t>
      </w:r>
    </w:p>
    <w:p w14:paraId="099229EE" w14:textId="5EAFC9E1" w:rsidR="00A2453C" w:rsidRPr="00C001BB" w:rsidRDefault="0091681D" w:rsidP="00A2453C">
      <w:pPr>
        <w:spacing w:after="0" w:line="240" w:lineRule="auto"/>
        <w:ind w:left="720"/>
        <w:textAlignment w:val="baseline"/>
        <w:rPr>
          <w:rFonts w:ascii="Times New Roman" w:eastAsia="Times New Roman" w:hAnsi="Times New Roman" w:cs="Times New Roman"/>
          <w:color w:val="000000"/>
        </w:rPr>
      </w:pPr>
      <w:r w:rsidRPr="00C001BB">
        <w:rPr>
          <w:rFonts w:ascii="Times New Roman" w:eastAsia="Times New Roman" w:hAnsi="Times New Roman" w:cs="Times New Roman"/>
          <w:color w:val="000000"/>
        </w:rPr>
        <w:t>County positivity rate</w:t>
      </w:r>
      <w:r w:rsidR="00A2453C" w:rsidRPr="00C001BB">
        <w:rPr>
          <w:rFonts w:ascii="Times New Roman" w:eastAsia="Times New Roman" w:hAnsi="Times New Roman" w:cs="Times New Roman"/>
          <w:color w:val="000000"/>
        </w:rPr>
        <w:t xml:space="preserve"> </w:t>
      </w:r>
      <w:r w:rsidR="00AB0CA6" w:rsidRPr="00C001BB">
        <w:rPr>
          <w:rFonts w:ascii="Times New Roman" w:eastAsia="Times New Roman" w:hAnsi="Times New Roman" w:cs="Times New Roman"/>
          <w:color w:val="000000"/>
        </w:rPr>
        <w:t xml:space="preserve">can </w:t>
      </w:r>
      <w:r w:rsidR="00A2453C" w:rsidRPr="00C001BB">
        <w:rPr>
          <w:rFonts w:ascii="Times New Roman" w:eastAsia="Times New Roman" w:hAnsi="Times New Roman" w:cs="Times New Roman"/>
          <w:color w:val="000000"/>
        </w:rPr>
        <w:t>be found on</w:t>
      </w:r>
      <w:r w:rsidR="004342C0" w:rsidRPr="00C001BB">
        <w:rPr>
          <w:rStyle w:val="Hyperlink"/>
          <w:rFonts w:ascii="Times New Roman" w:eastAsia="Times New Roman" w:hAnsi="Times New Roman" w:cs="Times New Roman"/>
          <w:u w:val="none"/>
        </w:rPr>
        <w:t xml:space="preserve"> </w:t>
      </w:r>
      <w:r w:rsidR="004342C0" w:rsidRPr="00C001BB">
        <w:rPr>
          <w:rStyle w:val="Hyperlink"/>
          <w:rFonts w:ascii="Times New Roman" w:eastAsia="Times New Roman" w:hAnsi="Times New Roman" w:cs="Times New Roman"/>
          <w:color w:val="auto"/>
          <w:u w:val="none"/>
        </w:rPr>
        <w:t xml:space="preserve">the </w:t>
      </w:r>
      <w:hyperlink r:id="rId16" w:history="1">
        <w:r w:rsidR="004342C0" w:rsidRPr="00C001BB">
          <w:rPr>
            <w:rStyle w:val="Hyperlink"/>
            <w:rFonts w:ascii="Times New Roman" w:eastAsia="Times New Roman" w:hAnsi="Times New Roman" w:cs="Times New Roman"/>
          </w:rPr>
          <w:t>mass.gov website.</w:t>
        </w:r>
      </w:hyperlink>
      <w:r w:rsidR="00A2453C" w:rsidRPr="00C001BB">
        <w:rPr>
          <w:rFonts w:ascii="Times New Roman" w:eastAsia="Times New Roman" w:hAnsi="Times New Roman" w:cs="Times New Roman"/>
          <w:color w:val="000000"/>
        </w:rPr>
        <w:t xml:space="preserve"> </w:t>
      </w:r>
      <w:r w:rsidRPr="00C001BB">
        <w:rPr>
          <w:rFonts w:ascii="Times New Roman" w:eastAsia="Times New Roman" w:hAnsi="Times New Roman" w:cs="Times New Roman"/>
          <w:color w:val="000000"/>
        </w:rPr>
        <w:t>Please note, for all testing periods beginning October 15, 2020, the congregate care surveillance testing program will shift from t</w:t>
      </w:r>
      <w:r w:rsidR="00A2453C" w:rsidRPr="00C001BB">
        <w:rPr>
          <w:rFonts w:ascii="Times New Roman" w:eastAsia="Times New Roman" w:hAnsi="Times New Roman" w:cs="Times New Roman"/>
          <w:color w:val="000000"/>
        </w:rPr>
        <w:t xml:space="preserve">he transmission rates for each EMS region </w:t>
      </w:r>
      <w:r w:rsidRPr="00C001BB">
        <w:rPr>
          <w:rFonts w:ascii="Times New Roman" w:eastAsia="Times New Roman" w:hAnsi="Times New Roman" w:cs="Times New Roman"/>
          <w:color w:val="000000"/>
        </w:rPr>
        <w:t xml:space="preserve">to the positivity rate of each county. County positivity rates </w:t>
      </w:r>
      <w:r w:rsidR="00A2453C" w:rsidRPr="00C001BB">
        <w:rPr>
          <w:rFonts w:ascii="Times New Roman" w:eastAsia="Times New Roman" w:hAnsi="Times New Roman" w:cs="Times New Roman"/>
          <w:color w:val="000000"/>
        </w:rPr>
        <w:t xml:space="preserve">will be included </w:t>
      </w:r>
      <w:r w:rsidR="00C001BB" w:rsidRPr="00C001BB">
        <w:rPr>
          <w:rFonts w:ascii="Times New Roman" w:eastAsia="Times New Roman" w:hAnsi="Times New Roman" w:cs="Times New Roman"/>
          <w:color w:val="000000"/>
        </w:rPr>
        <w:t>o</w:t>
      </w:r>
      <w:r w:rsidR="00A2453C" w:rsidRPr="00C001BB">
        <w:rPr>
          <w:rFonts w:ascii="Times New Roman" w:eastAsia="Times New Roman" w:hAnsi="Times New Roman" w:cs="Times New Roman"/>
          <w:color w:val="000000"/>
        </w:rPr>
        <w:t xml:space="preserve">n the state’s </w:t>
      </w:r>
      <w:hyperlink r:id="rId17" w:history="1">
        <w:r w:rsidR="00C001BB" w:rsidRPr="00C001BB">
          <w:rPr>
            <w:rStyle w:val="Hyperlink"/>
            <w:rFonts w:ascii="Times New Roman" w:hAnsi="Times New Roman" w:cs="Times New Roman"/>
          </w:rPr>
          <w:t>COVID-19 Response Reporting</w:t>
        </w:r>
      </w:hyperlink>
      <w:r w:rsidR="00C001BB" w:rsidRPr="00C001BB">
        <w:rPr>
          <w:rFonts w:ascii="Times New Roman" w:hAnsi="Times New Roman" w:cs="Times New Roman"/>
        </w:rPr>
        <w:t xml:space="preserve"> webpage, under </w:t>
      </w:r>
      <w:r w:rsidR="00DF136D" w:rsidRPr="00DF136D">
        <w:rPr>
          <w:rFonts w:ascii="Times New Roman" w:hAnsi="Times New Roman" w:cs="Times New Roman"/>
          <w:u w:val="single"/>
        </w:rPr>
        <w:t>County-Level COVID-19 Data Reporting</w:t>
      </w:r>
      <w:r w:rsidR="002278B3" w:rsidRPr="00C001BB">
        <w:rPr>
          <w:rFonts w:ascii="Times New Roman" w:eastAsia="Times New Roman" w:hAnsi="Times New Roman" w:cs="Times New Roman"/>
          <w:color w:val="000000"/>
        </w:rPr>
        <w:t xml:space="preserve"> which will be </w:t>
      </w:r>
      <w:r w:rsidR="00143B69" w:rsidRPr="00C001BB">
        <w:rPr>
          <w:rFonts w:ascii="Times New Roman" w:eastAsia="Times New Roman" w:hAnsi="Times New Roman" w:cs="Times New Roman"/>
          <w:color w:val="000000"/>
        </w:rPr>
        <w:t xml:space="preserve">updated and </w:t>
      </w:r>
      <w:r w:rsidR="002278B3" w:rsidRPr="00C001BB">
        <w:rPr>
          <w:rFonts w:ascii="Times New Roman" w:eastAsia="Times New Roman" w:hAnsi="Times New Roman" w:cs="Times New Roman"/>
          <w:color w:val="000000"/>
        </w:rPr>
        <w:t>posted</w:t>
      </w:r>
      <w:r w:rsidR="004342C0" w:rsidRPr="00C001BB">
        <w:rPr>
          <w:rFonts w:ascii="Times New Roman" w:eastAsia="Times New Roman" w:hAnsi="Times New Roman" w:cs="Times New Roman"/>
          <w:color w:val="000000"/>
        </w:rPr>
        <w:t xml:space="preserve"> </w:t>
      </w:r>
      <w:r w:rsidR="002278B3" w:rsidRPr="00C001BB">
        <w:rPr>
          <w:rFonts w:ascii="Times New Roman" w:eastAsia="Times New Roman" w:hAnsi="Times New Roman" w:cs="Times New Roman"/>
          <w:color w:val="000000"/>
        </w:rPr>
        <w:t>every Wednesday</w:t>
      </w:r>
      <w:r w:rsidR="00A2453C" w:rsidRPr="00C001BB">
        <w:rPr>
          <w:rFonts w:ascii="Times New Roman" w:eastAsia="Times New Roman" w:hAnsi="Times New Roman" w:cs="Times New Roman"/>
          <w:color w:val="000000"/>
        </w:rPr>
        <w:t xml:space="preserve">.  </w:t>
      </w:r>
    </w:p>
    <w:p w14:paraId="0A61C50B" w14:textId="63D0FD47" w:rsidR="005A2D6B" w:rsidRDefault="005A2D6B" w:rsidP="00A2453C">
      <w:pPr>
        <w:spacing w:after="0" w:line="240" w:lineRule="auto"/>
        <w:ind w:left="720"/>
        <w:textAlignment w:val="baseline"/>
        <w:rPr>
          <w:rFonts w:ascii="Times New Roman" w:eastAsia="Times New Roman" w:hAnsi="Times New Roman" w:cs="Times New Roman"/>
          <w:color w:val="000000"/>
        </w:rPr>
      </w:pPr>
    </w:p>
    <w:p w14:paraId="5E48CD6F" w14:textId="77777777" w:rsidR="005A2D6B" w:rsidRDefault="005A2D6B" w:rsidP="005A2D6B">
      <w:pPr>
        <w:pStyle w:val="ListParagraph"/>
        <w:numPr>
          <w:ilvl w:val="0"/>
          <w:numId w:val="1"/>
        </w:num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If the county positivity rate changes in the middle of a testing period, how does that affect the testing regimen my site should complete?</w:t>
      </w:r>
    </w:p>
    <w:p w14:paraId="736A3E34" w14:textId="69041991" w:rsidR="000A28B7" w:rsidRDefault="005A2D6B" w:rsidP="000A28B7">
      <w:pPr>
        <w:spacing w:after="0" w:line="240" w:lineRule="auto"/>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Changes in the positivity rate of a county in the middle of a testing period do </w:t>
      </w:r>
      <w:r w:rsidRPr="00D177A6">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affect the testing regimen that a site should complete. Testing regimens, for sites in both low and high positivity counties, are established at the beginning of the testing period.</w:t>
      </w:r>
      <w:r w:rsidR="000A28B7">
        <w:rPr>
          <w:rFonts w:ascii="Times New Roman" w:eastAsia="Times New Roman" w:hAnsi="Times New Roman" w:cs="Times New Roman"/>
          <w:color w:val="000000"/>
        </w:rPr>
        <w:t xml:space="preserve"> For example, for the testing period beginning 10/1, testing regimens were established using the </w:t>
      </w:r>
      <w:r w:rsidR="00C001BB">
        <w:rPr>
          <w:rFonts w:ascii="Times New Roman" w:eastAsia="Times New Roman" w:hAnsi="Times New Roman" w:cs="Times New Roman"/>
          <w:color w:val="000000"/>
        </w:rPr>
        <w:t xml:space="preserve">county positivity rate </w:t>
      </w:r>
      <w:r w:rsidR="000A28B7">
        <w:rPr>
          <w:rFonts w:ascii="Times New Roman" w:eastAsia="Times New Roman" w:hAnsi="Times New Roman" w:cs="Times New Roman"/>
          <w:color w:val="000000"/>
        </w:rPr>
        <w:t>from 9/30. The testing regimen the site should complete does not need to be reevaluated until the start of the subsequent testing period.</w:t>
      </w:r>
    </w:p>
    <w:p w14:paraId="5D55B5A7" w14:textId="77777777" w:rsidR="00786E89" w:rsidRDefault="00786E89" w:rsidP="000A28B7">
      <w:pPr>
        <w:spacing w:after="0" w:line="240" w:lineRule="auto"/>
        <w:ind w:left="720"/>
        <w:textAlignment w:val="baseline"/>
        <w:rPr>
          <w:rFonts w:ascii="Times New Roman" w:eastAsia="Times New Roman" w:hAnsi="Times New Roman" w:cs="Times New Roman"/>
          <w:color w:val="000000"/>
        </w:rPr>
      </w:pPr>
    </w:p>
    <w:p w14:paraId="2AD15A8A" w14:textId="01B52977" w:rsidR="008D6EC5" w:rsidRDefault="00F94266" w:rsidP="008D6EC5">
      <w:pPr>
        <w:pStyle w:val="Heading2"/>
        <w:rPr>
          <w:rFonts w:ascii="Times New Roman" w:hAnsi="Times New Roman" w:cs="Times New Roman"/>
          <w:b/>
          <w:bCs/>
        </w:rPr>
      </w:pPr>
      <w:bookmarkStart w:id="3" w:name="_Toc59628139"/>
      <w:bookmarkStart w:id="4" w:name="_Toc59637313"/>
      <w:r>
        <w:rPr>
          <w:rFonts w:ascii="Times New Roman" w:hAnsi="Times New Roman" w:cs="Times New Roman"/>
          <w:b/>
          <w:bCs/>
        </w:rPr>
        <w:t xml:space="preserve">FAQs for Contracting &amp; </w:t>
      </w:r>
      <w:r w:rsidR="008D6EC5">
        <w:rPr>
          <w:rFonts w:ascii="Times New Roman" w:hAnsi="Times New Roman" w:cs="Times New Roman"/>
          <w:b/>
          <w:bCs/>
        </w:rPr>
        <w:t>Reimbursement Extension</w:t>
      </w:r>
      <w:bookmarkEnd w:id="3"/>
      <w:bookmarkEnd w:id="4"/>
    </w:p>
    <w:p w14:paraId="42853373" w14:textId="77777777" w:rsidR="008D6EC5" w:rsidRDefault="008D6EC5" w:rsidP="008D6EC5">
      <w:pPr>
        <w:shd w:val="clear" w:color="auto" w:fill="FFFFFF"/>
        <w:spacing w:after="0" w:line="240" w:lineRule="auto"/>
        <w:ind w:left="720"/>
        <w:rPr>
          <w:rFonts w:ascii="Times New Roman" w:hAnsi="Times New Roman" w:cs="Times New Roman"/>
          <w:b/>
          <w:bCs/>
        </w:rPr>
      </w:pPr>
    </w:p>
    <w:p w14:paraId="5E650B49" w14:textId="3EA43E8C" w:rsidR="006E0450" w:rsidRPr="006734E9" w:rsidRDefault="00DF19B7"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Will my organization receive reimbursement for </w:t>
      </w:r>
      <w:r w:rsidR="00020234">
        <w:rPr>
          <w:rFonts w:ascii="Times New Roman" w:hAnsi="Times New Roman" w:cs="Times New Roman"/>
          <w:b/>
          <w:bCs/>
        </w:rPr>
        <w:t xml:space="preserve">costs of testing which is </w:t>
      </w:r>
      <w:r>
        <w:rPr>
          <w:rFonts w:ascii="Times New Roman" w:hAnsi="Times New Roman" w:cs="Times New Roman"/>
          <w:b/>
          <w:bCs/>
        </w:rPr>
        <w:t>conducted after December 31</w:t>
      </w:r>
      <w:r w:rsidRPr="00DF19B7">
        <w:rPr>
          <w:rFonts w:ascii="Times New Roman" w:hAnsi="Times New Roman" w:cs="Times New Roman"/>
          <w:b/>
          <w:bCs/>
          <w:vertAlign w:val="superscript"/>
        </w:rPr>
        <w:t>st</w:t>
      </w:r>
      <w:r>
        <w:rPr>
          <w:rFonts w:ascii="Times New Roman" w:hAnsi="Times New Roman" w:cs="Times New Roman"/>
          <w:b/>
          <w:bCs/>
        </w:rPr>
        <w:t>, 2020</w:t>
      </w:r>
      <w:r w:rsidR="006E0450" w:rsidRPr="006734E9">
        <w:rPr>
          <w:rFonts w:ascii="Times New Roman" w:hAnsi="Times New Roman" w:cs="Times New Roman"/>
          <w:b/>
          <w:bCs/>
        </w:rPr>
        <w:t>?</w:t>
      </w:r>
    </w:p>
    <w:p w14:paraId="1A805DB2" w14:textId="504D630F" w:rsidR="006E0450" w:rsidRDefault="00DF19B7"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lastRenderedPageBreak/>
        <w:t>Organizations are eligible to receive reimbursement for tests conducted between January 1</w:t>
      </w:r>
      <w:r w:rsidRPr="00DF19B7">
        <w:rPr>
          <w:rFonts w:ascii="Times New Roman" w:hAnsi="Times New Roman" w:cs="Times New Roman"/>
          <w:vertAlign w:val="superscript"/>
        </w:rPr>
        <w:t>st</w:t>
      </w:r>
      <w:r>
        <w:rPr>
          <w:rFonts w:ascii="Times New Roman" w:hAnsi="Times New Roman" w:cs="Times New Roman"/>
        </w:rPr>
        <w:t xml:space="preserve"> and January 20</w:t>
      </w:r>
      <w:r w:rsidRPr="00DF19B7">
        <w:rPr>
          <w:rFonts w:ascii="Times New Roman" w:hAnsi="Times New Roman" w:cs="Times New Roman"/>
          <w:vertAlign w:val="superscript"/>
        </w:rPr>
        <w:t>th</w:t>
      </w:r>
      <w:r>
        <w:rPr>
          <w:rFonts w:ascii="Times New Roman" w:hAnsi="Times New Roman" w:cs="Times New Roman"/>
        </w:rPr>
        <w:t>, 2020, or the date in which they receive Color or BinaxNOW tests, only if:</w:t>
      </w:r>
    </w:p>
    <w:p w14:paraId="5AA74BDD" w14:textId="3CB709E1" w:rsidR="00DF19B7" w:rsidRPr="00DF19B7" w:rsidRDefault="00DF19B7" w:rsidP="00DF19B7">
      <w:pPr>
        <w:pStyle w:val="ListParagraph"/>
        <w:numPr>
          <w:ilvl w:val="0"/>
          <w:numId w:val="3"/>
        </w:numPr>
        <w:shd w:val="clear" w:color="auto" w:fill="FFFFFF"/>
        <w:spacing w:after="0" w:line="240" w:lineRule="auto"/>
        <w:rPr>
          <w:rFonts w:ascii="Times New Roman" w:hAnsi="Times New Roman" w:cs="Times New Roman"/>
        </w:rPr>
      </w:pPr>
      <w:r>
        <w:rPr>
          <w:rFonts w:ascii="Times New Roman" w:hAnsi="Times New Roman" w:cs="Times New Roman"/>
        </w:rPr>
        <w:t>The organization previously submitted the required contracting forms specified in the previous version of this guidance, including the Surveillance Testing Contract, the Cost Template, and the Standard Contract form.</w:t>
      </w:r>
    </w:p>
    <w:p w14:paraId="70B0A7F5" w14:textId="47E1850F" w:rsidR="00DF19B7" w:rsidRDefault="00DF19B7" w:rsidP="00DF19B7">
      <w:pPr>
        <w:pStyle w:val="ListParagraph"/>
        <w:numPr>
          <w:ilvl w:val="0"/>
          <w:numId w:val="3"/>
        </w:numPr>
        <w:shd w:val="clear" w:color="auto" w:fill="FFFFFF"/>
        <w:spacing w:after="0" w:line="240" w:lineRule="auto"/>
        <w:rPr>
          <w:rFonts w:ascii="Times New Roman" w:hAnsi="Times New Roman" w:cs="Times New Roman"/>
        </w:rPr>
      </w:pPr>
      <w:r>
        <w:rPr>
          <w:rFonts w:ascii="Times New Roman" w:hAnsi="Times New Roman" w:cs="Times New Roman"/>
        </w:rPr>
        <w:t xml:space="preserve">The organization </w:t>
      </w:r>
      <w:r w:rsidRPr="00DF19B7">
        <w:rPr>
          <w:rFonts w:ascii="Times New Roman" w:hAnsi="Times New Roman" w:cs="Times New Roman"/>
          <w:u w:val="single"/>
        </w:rPr>
        <w:t>also submit</w:t>
      </w:r>
      <w:r>
        <w:rPr>
          <w:rFonts w:ascii="Times New Roman" w:hAnsi="Times New Roman" w:cs="Times New Roman"/>
          <w:u w:val="single"/>
        </w:rPr>
        <w:t>s</w:t>
      </w:r>
      <w:r>
        <w:rPr>
          <w:rFonts w:ascii="Times New Roman" w:hAnsi="Times New Roman" w:cs="Times New Roman"/>
        </w:rPr>
        <w:t xml:space="preserve"> the Surveillance Testing Contract Amendment and Revised Standard Contract Form to </w:t>
      </w:r>
      <w:hyperlink r:id="rId18" w:history="1">
        <w:r w:rsidRPr="0042612D">
          <w:rPr>
            <w:rStyle w:val="Hyperlink"/>
            <w:rFonts w:ascii="Times New Roman" w:hAnsi="Times New Roman" w:cs="Times New Roman"/>
          </w:rPr>
          <w:t>EOHHSTestingContracts@mass.gov</w:t>
        </w:r>
      </w:hyperlink>
    </w:p>
    <w:p w14:paraId="6839242A" w14:textId="77777777" w:rsidR="00DF19B7" w:rsidRDefault="00DF19B7" w:rsidP="00DF19B7">
      <w:pPr>
        <w:shd w:val="clear" w:color="auto" w:fill="FFFFFF"/>
        <w:spacing w:after="0" w:line="240" w:lineRule="auto"/>
        <w:ind w:left="720"/>
        <w:rPr>
          <w:rFonts w:ascii="Times New Roman" w:hAnsi="Times New Roman" w:cs="Times New Roman"/>
        </w:rPr>
      </w:pPr>
    </w:p>
    <w:p w14:paraId="24D58640" w14:textId="091C9269" w:rsidR="00DF19B7" w:rsidRPr="00DF19B7" w:rsidRDefault="00DF19B7" w:rsidP="00DF19B7">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While the contract amendment is being completed and processed, organizations should continue to submit testing cost on the online </w:t>
      </w:r>
      <w:hyperlink r:id="rId19" w:history="1">
        <w:r w:rsidRPr="00711B8F">
          <w:rPr>
            <w:rStyle w:val="Hyperlink"/>
            <w:rFonts w:ascii="Times New Roman" w:hAnsi="Times New Roman" w:cs="Times New Roman"/>
          </w:rPr>
          <w:t>survey tool</w:t>
        </w:r>
      </w:hyperlink>
      <w:r>
        <w:rPr>
          <w:rFonts w:ascii="Times New Roman" w:hAnsi="Times New Roman" w:cs="Times New Roman"/>
        </w:rPr>
        <w:t>, as they did previously.</w:t>
      </w:r>
    </w:p>
    <w:p w14:paraId="499743F7" w14:textId="77777777" w:rsidR="006E0450" w:rsidRPr="006734E9" w:rsidRDefault="006E0450" w:rsidP="006E0450">
      <w:pPr>
        <w:shd w:val="clear" w:color="auto" w:fill="FFFFFF"/>
        <w:spacing w:after="0" w:line="240" w:lineRule="auto"/>
        <w:ind w:left="720"/>
        <w:rPr>
          <w:rFonts w:ascii="Times New Roman" w:hAnsi="Times New Roman" w:cs="Times New Roman"/>
        </w:rPr>
      </w:pPr>
    </w:p>
    <w:p w14:paraId="6218C770" w14:textId="7F8D9B4B" w:rsidR="00710D65" w:rsidRDefault="00710D65"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Do the Surveillance Testing Contract, the Cost Template, and the Standard Contract Form need to be submitted </w:t>
      </w:r>
      <w:r w:rsidR="00DF19B7">
        <w:rPr>
          <w:rFonts w:ascii="Times New Roman" w:hAnsi="Times New Roman" w:cs="Times New Roman"/>
          <w:b/>
          <w:bCs/>
        </w:rPr>
        <w:t>again</w:t>
      </w:r>
      <w:r>
        <w:rPr>
          <w:rFonts w:ascii="Times New Roman" w:hAnsi="Times New Roman" w:cs="Times New Roman"/>
          <w:b/>
          <w:bCs/>
        </w:rPr>
        <w:t>?</w:t>
      </w:r>
    </w:p>
    <w:p w14:paraId="4C1550B4" w14:textId="7E2ADDB7" w:rsidR="00DF19B7" w:rsidRDefault="00710D65" w:rsidP="000C12C6">
      <w:pPr>
        <w:shd w:val="clear" w:color="auto" w:fill="FFFFFF"/>
        <w:spacing w:after="0" w:line="240" w:lineRule="auto"/>
        <w:ind w:left="720"/>
        <w:rPr>
          <w:rFonts w:ascii="Times New Roman" w:hAnsi="Times New Roman" w:cs="Times New Roman"/>
        </w:rPr>
      </w:pPr>
      <w:r w:rsidRPr="000C12C6">
        <w:rPr>
          <w:rFonts w:ascii="Times New Roman" w:hAnsi="Times New Roman" w:cs="Times New Roman"/>
        </w:rPr>
        <w:t xml:space="preserve">No, the </w:t>
      </w:r>
      <w:r w:rsidR="00DF19B7">
        <w:rPr>
          <w:rFonts w:ascii="Times New Roman" w:hAnsi="Times New Roman" w:cs="Times New Roman"/>
        </w:rPr>
        <w:t xml:space="preserve">original </w:t>
      </w:r>
      <w:r w:rsidRPr="000C12C6">
        <w:rPr>
          <w:rFonts w:ascii="Times New Roman" w:hAnsi="Times New Roman" w:cs="Times New Roman"/>
        </w:rPr>
        <w:t xml:space="preserve">contracting documents only need to be submitted once to EOHHS. </w:t>
      </w:r>
      <w:r w:rsidR="00DF19B7">
        <w:rPr>
          <w:rFonts w:ascii="Times New Roman" w:hAnsi="Times New Roman" w:cs="Times New Roman"/>
        </w:rPr>
        <w:t>The only new submission by organizations will be Amendment #1 to the Surveillance Testing Contract and the Amended Standard Contract Form.</w:t>
      </w:r>
    </w:p>
    <w:p w14:paraId="0AEA5D44" w14:textId="77777777" w:rsidR="00DF19B7" w:rsidRDefault="00DF19B7" w:rsidP="000C12C6">
      <w:pPr>
        <w:shd w:val="clear" w:color="auto" w:fill="FFFFFF"/>
        <w:spacing w:after="0" w:line="240" w:lineRule="auto"/>
        <w:ind w:left="720"/>
        <w:rPr>
          <w:rFonts w:ascii="Times New Roman" w:hAnsi="Times New Roman" w:cs="Times New Roman"/>
        </w:rPr>
      </w:pPr>
    </w:p>
    <w:p w14:paraId="1104F83F" w14:textId="68C5E4E0" w:rsidR="00710D65" w:rsidRDefault="00710D65" w:rsidP="000C12C6">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After the contracts have been correctly submitted to EOHHS, organizations are only required to report completion of testing using the </w:t>
      </w:r>
      <w:r w:rsidRPr="00711B8F">
        <w:rPr>
          <w:rFonts w:ascii="Times New Roman" w:hAnsi="Times New Roman" w:cs="Times New Roman"/>
        </w:rPr>
        <w:t xml:space="preserve">online </w:t>
      </w:r>
      <w:hyperlink r:id="rId20" w:history="1">
        <w:r w:rsidRPr="00711B8F">
          <w:rPr>
            <w:rStyle w:val="Hyperlink"/>
            <w:rFonts w:ascii="Times New Roman" w:hAnsi="Times New Roman" w:cs="Times New Roman"/>
          </w:rPr>
          <w:t>survey tool</w:t>
        </w:r>
      </w:hyperlink>
      <w:r>
        <w:rPr>
          <w:rStyle w:val="Hyperlink"/>
          <w:rFonts w:ascii="Times New Roman" w:hAnsi="Times New Roman" w:cs="Times New Roman"/>
          <w:u w:val="none"/>
        </w:rPr>
        <w:t xml:space="preserve">, </w:t>
      </w:r>
      <w:r>
        <w:rPr>
          <w:rFonts w:ascii="Times New Roman" w:hAnsi="Times New Roman" w:cs="Times New Roman"/>
        </w:rPr>
        <w:t>no later than the Friday following each testing period.</w:t>
      </w:r>
    </w:p>
    <w:p w14:paraId="4EE66624" w14:textId="77777777" w:rsidR="00710D65" w:rsidRDefault="00710D65" w:rsidP="000C12C6">
      <w:pPr>
        <w:shd w:val="clear" w:color="auto" w:fill="FFFFFF"/>
        <w:spacing w:after="0" w:line="240" w:lineRule="auto"/>
        <w:rPr>
          <w:rFonts w:ascii="Times New Roman" w:hAnsi="Times New Roman" w:cs="Times New Roman"/>
          <w:b/>
          <w:bCs/>
        </w:rPr>
      </w:pPr>
    </w:p>
    <w:p w14:paraId="4B172D73" w14:textId="4BF287D8" w:rsidR="006E0450" w:rsidRDefault="00DF19B7"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What maximum obligation should be put in the Amended Standard Contract form?</w:t>
      </w:r>
    </w:p>
    <w:p w14:paraId="1170D74E" w14:textId="05992C10" w:rsidR="008D6EC5" w:rsidRDefault="00DF19B7" w:rsidP="008D6EC5">
      <w:pPr>
        <w:shd w:val="clear" w:color="auto" w:fill="FFFFFF"/>
        <w:spacing w:after="0" w:line="240" w:lineRule="auto"/>
        <w:ind w:left="720"/>
        <w:rPr>
          <w:rFonts w:ascii="Times New Roman" w:hAnsi="Times New Roman" w:cs="Times New Roman"/>
        </w:rPr>
      </w:pPr>
      <w:r>
        <w:rPr>
          <w:rFonts w:ascii="Times New Roman" w:hAnsi="Times New Roman" w:cs="Times New Roman"/>
        </w:rPr>
        <w:t>Organizations should input the maximum obligation used in the previous Surveillance Testing Contract, which was calculated with the Cost Template.</w:t>
      </w:r>
      <w:r w:rsidR="008D6EC5">
        <w:rPr>
          <w:rFonts w:ascii="Times New Roman" w:hAnsi="Times New Roman" w:cs="Times New Roman"/>
        </w:rPr>
        <w:t xml:space="preserve"> This original maximum obligation, if completed correctly, should be </w:t>
      </w:r>
      <w:proofErr w:type="gramStart"/>
      <w:r w:rsidR="008D6EC5">
        <w:rPr>
          <w:rFonts w:ascii="Times New Roman" w:hAnsi="Times New Roman" w:cs="Times New Roman"/>
        </w:rPr>
        <w:t>sufficient</w:t>
      </w:r>
      <w:proofErr w:type="gramEnd"/>
      <w:r w:rsidR="008D6EC5">
        <w:rPr>
          <w:rFonts w:ascii="Times New Roman" w:hAnsi="Times New Roman" w:cs="Times New Roman"/>
        </w:rPr>
        <w:t xml:space="preserve"> to cover reimbursement through January 20</w:t>
      </w:r>
      <w:r w:rsidR="008D6EC5" w:rsidRPr="008D6EC5">
        <w:rPr>
          <w:rFonts w:ascii="Times New Roman" w:hAnsi="Times New Roman" w:cs="Times New Roman"/>
          <w:vertAlign w:val="superscript"/>
        </w:rPr>
        <w:t>th</w:t>
      </w:r>
      <w:r w:rsidR="008D6EC5">
        <w:rPr>
          <w:rFonts w:ascii="Times New Roman" w:hAnsi="Times New Roman" w:cs="Times New Roman"/>
        </w:rPr>
        <w:t>, 2021.</w:t>
      </w:r>
    </w:p>
    <w:p w14:paraId="66594D0F" w14:textId="77777777" w:rsidR="00E345B0" w:rsidRPr="006734E9" w:rsidRDefault="00E345B0" w:rsidP="006E0450">
      <w:pPr>
        <w:shd w:val="clear" w:color="auto" w:fill="FFFFFF"/>
        <w:spacing w:after="0" w:line="240" w:lineRule="auto"/>
        <w:ind w:left="720"/>
        <w:rPr>
          <w:rFonts w:ascii="Times New Roman" w:hAnsi="Times New Roman" w:cs="Times New Roman"/>
        </w:rPr>
      </w:pPr>
    </w:p>
    <w:p w14:paraId="5BBC040E" w14:textId="439EBA45" w:rsidR="006E0450" w:rsidRPr="003705EF" w:rsidRDefault="006E0450" w:rsidP="00FC525E">
      <w:pPr>
        <w:numPr>
          <w:ilvl w:val="0"/>
          <w:numId w:val="1"/>
        </w:numPr>
        <w:shd w:val="clear" w:color="auto" w:fill="FFFFFF"/>
        <w:spacing w:after="0" w:line="240" w:lineRule="auto"/>
        <w:rPr>
          <w:rFonts w:ascii="Times New Roman" w:hAnsi="Times New Roman" w:cs="Times New Roman"/>
          <w:b/>
          <w:bCs/>
        </w:rPr>
      </w:pPr>
      <w:r w:rsidRPr="003705EF">
        <w:rPr>
          <w:rFonts w:ascii="Times New Roman" w:hAnsi="Times New Roman" w:cs="Times New Roman"/>
          <w:b/>
          <w:bCs/>
        </w:rPr>
        <w:t>I do not know my Vendor Number, or know if my organization has a Vendor Number; how do I find this information?</w:t>
      </w:r>
    </w:p>
    <w:p w14:paraId="56F47BD4" w14:textId="7928094B" w:rsidR="006E0450" w:rsidRPr="00F14C62" w:rsidRDefault="006E0450" w:rsidP="006E0450">
      <w:pPr>
        <w:shd w:val="clear" w:color="auto" w:fill="FFFFFF"/>
        <w:spacing w:after="0" w:line="240" w:lineRule="auto"/>
        <w:ind w:left="720"/>
        <w:rPr>
          <w:rFonts w:ascii="Times New Roman" w:hAnsi="Times New Roman" w:cs="Times New Roman"/>
        </w:rPr>
      </w:pPr>
      <w:r w:rsidRPr="00F14C62">
        <w:rPr>
          <w:rFonts w:ascii="Times New Roman" w:hAnsi="Times New Roman" w:cs="Times New Roman"/>
        </w:rPr>
        <w:t>Your Vendor Number is a 12 character alpha</w:t>
      </w:r>
      <w:r w:rsidR="003C5862" w:rsidRPr="00F14C62">
        <w:rPr>
          <w:rFonts w:ascii="Times New Roman" w:hAnsi="Times New Roman" w:cs="Times New Roman"/>
        </w:rPr>
        <w:t>-</w:t>
      </w:r>
      <w:r w:rsidRPr="00F14C62">
        <w:rPr>
          <w:rFonts w:ascii="Times New Roman" w:hAnsi="Times New Roman" w:cs="Times New Roman"/>
        </w:rPr>
        <w:t xml:space="preserve">numeric code, beginning with the letters “VC”. If you do not know this number, contact the </w:t>
      </w:r>
      <w:hyperlink r:id="rId21" w:history="1">
        <w:r w:rsidRPr="00F14C62">
          <w:rPr>
            <w:rStyle w:val="Hyperlink"/>
            <w:rFonts w:ascii="Times New Roman" w:hAnsi="Times New Roman" w:cs="Times New Roman"/>
          </w:rPr>
          <w:t>department your organization does business with</w:t>
        </w:r>
      </w:hyperlink>
      <w:r w:rsidRPr="00F14C62">
        <w:rPr>
          <w:rFonts w:ascii="Times New Roman" w:hAnsi="Times New Roman" w:cs="Times New Roman"/>
        </w:rPr>
        <w:t xml:space="preserve">. Note: the </w:t>
      </w:r>
      <w:hyperlink r:id="rId22" w:history="1">
        <w:r w:rsidRPr="00F14C62">
          <w:rPr>
            <w:rStyle w:val="Hyperlink"/>
            <w:rFonts w:ascii="Times New Roman" w:hAnsi="Times New Roman" w:cs="Times New Roman"/>
          </w:rPr>
          <w:t>online survey</w:t>
        </w:r>
      </w:hyperlink>
      <w:r w:rsidRPr="00F14C62">
        <w:rPr>
          <w:rFonts w:ascii="Times New Roman" w:hAnsi="Times New Roman" w:cs="Times New Roman"/>
        </w:rPr>
        <w:t xml:space="preserve"> has the Vendor Number for most organizations contained in the drop-down list on question #1.</w:t>
      </w:r>
    </w:p>
    <w:p w14:paraId="7C3F5FAF" w14:textId="77777777" w:rsidR="006E0450" w:rsidRDefault="006E0450" w:rsidP="006E0450">
      <w:pPr>
        <w:shd w:val="clear" w:color="auto" w:fill="FFFFFF"/>
        <w:spacing w:after="0" w:line="240" w:lineRule="auto"/>
        <w:ind w:left="720"/>
        <w:rPr>
          <w:rFonts w:ascii="Times New Roman" w:hAnsi="Times New Roman" w:cs="Times New Roman"/>
        </w:rPr>
      </w:pPr>
    </w:p>
    <w:p w14:paraId="025021E9" w14:textId="14446112"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If you do not do business with any of the state departments listed, and yet you believe you are a “Covered Program,” as defined by Appendix A of the </w:t>
      </w:r>
      <w:bookmarkStart w:id="5" w:name="_Hlk54629108"/>
      <w:r>
        <w:rPr>
          <w:rFonts w:ascii="Times New Roman" w:hAnsi="Times New Roman" w:cs="Times New Roman"/>
        </w:rPr>
        <w:t>EOHHS Congregate Care Surveillance Testing Guidance</w:t>
      </w:r>
      <w:bookmarkEnd w:id="5"/>
      <w:r>
        <w:rPr>
          <w:rFonts w:ascii="Times New Roman" w:hAnsi="Times New Roman" w:cs="Times New Roman"/>
        </w:rPr>
        <w:t xml:space="preserve">, please reach out to </w:t>
      </w:r>
      <w:r w:rsidR="00BC2ABF" w:rsidRPr="00EC29F4">
        <w:rPr>
          <w:rFonts w:ascii="Times New Roman" w:hAnsi="Times New Roman" w:cs="Times New Roman"/>
        </w:rPr>
        <w:t xml:space="preserve">your </w:t>
      </w:r>
      <w:r w:rsidR="00BC2ABF">
        <w:rPr>
          <w:rFonts w:ascii="Times New Roman" w:hAnsi="Times New Roman" w:cs="Times New Roman"/>
        </w:rPr>
        <w:t>primary funding agency point of contact for assistance with determining your organization’s eligibility</w:t>
      </w:r>
      <w:r>
        <w:rPr>
          <w:rFonts w:ascii="Times New Roman" w:hAnsi="Times New Roman" w:cs="Times New Roman"/>
        </w:rPr>
        <w:t>.</w:t>
      </w:r>
    </w:p>
    <w:p w14:paraId="1E4CA2DE" w14:textId="27F1F6F0" w:rsidR="00F14C62" w:rsidRDefault="00F14C62" w:rsidP="006E0450">
      <w:pPr>
        <w:shd w:val="clear" w:color="auto" w:fill="FFFFFF"/>
        <w:spacing w:after="0" w:line="240" w:lineRule="auto"/>
        <w:ind w:left="720"/>
        <w:rPr>
          <w:rFonts w:ascii="Times New Roman" w:hAnsi="Times New Roman" w:cs="Times New Roman"/>
        </w:rPr>
      </w:pPr>
    </w:p>
    <w:p w14:paraId="0BC9AB3D" w14:textId="6DFC57E8" w:rsidR="00F14C62" w:rsidRPr="00AF06C7" w:rsidRDefault="00F14C62" w:rsidP="00F14C62">
      <w:pPr>
        <w:pStyle w:val="ListParagraph"/>
        <w:numPr>
          <w:ilvl w:val="0"/>
          <w:numId w:val="1"/>
        </w:numPr>
        <w:shd w:val="clear" w:color="auto" w:fill="FFFFFF"/>
        <w:spacing w:after="0" w:line="240" w:lineRule="auto"/>
        <w:rPr>
          <w:rFonts w:ascii="Times New Roman" w:hAnsi="Times New Roman" w:cs="Times New Roman"/>
          <w:b/>
          <w:bCs/>
        </w:rPr>
      </w:pPr>
      <w:r w:rsidRPr="00AF06C7">
        <w:rPr>
          <w:rFonts w:ascii="Times New Roman" w:hAnsi="Times New Roman" w:cs="Times New Roman"/>
          <w:b/>
          <w:bCs/>
        </w:rPr>
        <w:t>My organization has submitted the contract documents, and completed the online survey. What other steps should be taken to receive reimbursement for testing?</w:t>
      </w:r>
    </w:p>
    <w:p w14:paraId="75FEF524" w14:textId="4A4F5DD8" w:rsidR="00AC5B38" w:rsidRDefault="00F14C62" w:rsidP="008D6EC5">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 xml:space="preserve">If </w:t>
      </w:r>
      <w:r w:rsidR="008D6EC5">
        <w:rPr>
          <w:rFonts w:ascii="Times New Roman" w:hAnsi="Times New Roman" w:cs="Times New Roman"/>
        </w:rPr>
        <w:t>the original contract was</w:t>
      </w:r>
      <w:r w:rsidR="003F4B9D">
        <w:rPr>
          <w:rFonts w:ascii="Times New Roman" w:hAnsi="Times New Roman" w:cs="Times New Roman"/>
        </w:rPr>
        <w:t xml:space="preserve"> completed </w:t>
      </w:r>
      <w:r w:rsidR="008D6EC5">
        <w:rPr>
          <w:rFonts w:ascii="Times New Roman" w:hAnsi="Times New Roman" w:cs="Times New Roman"/>
        </w:rPr>
        <w:t xml:space="preserve">correctly, an organization submits documents necessary to amend this original contract </w:t>
      </w:r>
      <w:r w:rsidRPr="00F14C62">
        <w:rPr>
          <w:rFonts w:ascii="Times New Roman" w:hAnsi="Times New Roman" w:cs="Times New Roman"/>
        </w:rPr>
        <w:t xml:space="preserve">to </w:t>
      </w:r>
      <w:hyperlink r:id="rId23" w:history="1">
        <w:r w:rsidRPr="00F14C62">
          <w:rPr>
            <w:rStyle w:val="Hyperlink"/>
            <w:rFonts w:ascii="Times New Roman" w:hAnsi="Times New Roman" w:cs="Times New Roman"/>
          </w:rPr>
          <w:t>EOHHSTestingContracts@mass.gov</w:t>
        </w:r>
      </w:hyperlink>
      <w:r w:rsidRPr="00F14C62">
        <w:rPr>
          <w:rFonts w:ascii="Times New Roman" w:hAnsi="Times New Roman" w:cs="Times New Roman"/>
        </w:rPr>
        <w:t xml:space="preserve">, and the </w:t>
      </w:r>
      <w:hyperlink r:id="rId24" w:history="1">
        <w:r w:rsidRPr="00F14C62">
          <w:rPr>
            <w:rStyle w:val="Hyperlink"/>
            <w:rFonts w:ascii="Times New Roman" w:hAnsi="Times New Roman" w:cs="Times New Roman"/>
          </w:rPr>
          <w:t>online survey</w:t>
        </w:r>
      </w:hyperlink>
      <w:r w:rsidR="003F4B9D" w:rsidRPr="00AF06C7">
        <w:rPr>
          <w:rStyle w:val="Hyperlink"/>
          <w:rFonts w:ascii="Times New Roman" w:hAnsi="Times New Roman" w:cs="Times New Roman"/>
          <w:u w:val="none"/>
        </w:rPr>
        <w:t xml:space="preserve"> </w:t>
      </w:r>
      <w:r w:rsidRPr="00AF06C7">
        <w:rPr>
          <w:rFonts w:ascii="Times New Roman" w:hAnsi="Times New Roman" w:cs="Times New Roman"/>
        </w:rPr>
        <w:t>has been completed, no add</w:t>
      </w:r>
      <w:r>
        <w:rPr>
          <w:rFonts w:ascii="Times New Roman" w:hAnsi="Times New Roman" w:cs="Times New Roman"/>
        </w:rPr>
        <w:t>itional steps need to be taken</w:t>
      </w:r>
      <w:r w:rsidR="003F4B9D">
        <w:rPr>
          <w:rFonts w:ascii="Times New Roman" w:hAnsi="Times New Roman" w:cs="Times New Roman"/>
        </w:rPr>
        <w:t xml:space="preserve"> to receive reimbursement.</w:t>
      </w:r>
    </w:p>
    <w:p w14:paraId="05255FF6" w14:textId="2F43EAD6" w:rsidR="008D6EC5" w:rsidRDefault="008D6EC5" w:rsidP="008D6EC5">
      <w:pPr>
        <w:shd w:val="clear" w:color="auto" w:fill="FFFFFF"/>
        <w:spacing w:after="0" w:line="240" w:lineRule="auto"/>
        <w:rPr>
          <w:rFonts w:ascii="Times New Roman" w:hAnsi="Times New Roman" w:cs="Times New Roman"/>
        </w:rPr>
      </w:pPr>
    </w:p>
    <w:p w14:paraId="50C62F26" w14:textId="4515B349" w:rsidR="002F462E" w:rsidRDefault="002F462E" w:rsidP="002F462E">
      <w:pPr>
        <w:pStyle w:val="Heading2"/>
        <w:rPr>
          <w:rFonts w:ascii="Times New Roman" w:hAnsi="Times New Roman" w:cs="Times New Roman"/>
          <w:b/>
          <w:bCs/>
        </w:rPr>
      </w:pPr>
      <w:bookmarkStart w:id="6" w:name="_Toc59637314"/>
      <w:r w:rsidRPr="002F462E">
        <w:rPr>
          <w:rFonts w:ascii="Times New Roman" w:hAnsi="Times New Roman" w:cs="Times New Roman"/>
          <w:b/>
          <w:bCs/>
        </w:rPr>
        <w:t>FAQs for Abbott BinaxNOW tests</w:t>
      </w:r>
      <w:bookmarkEnd w:id="6"/>
    </w:p>
    <w:p w14:paraId="671C6B3B" w14:textId="0A36EBC0" w:rsidR="002F462E" w:rsidRDefault="002F462E" w:rsidP="002F462E">
      <w:pPr>
        <w:pStyle w:val="ListParagraph"/>
        <w:shd w:val="clear" w:color="auto" w:fill="FFFFFF"/>
        <w:spacing w:after="0" w:line="240" w:lineRule="auto"/>
        <w:rPr>
          <w:rFonts w:ascii="Times New Roman" w:hAnsi="Times New Roman" w:cs="Times New Roman"/>
          <w:b/>
          <w:bCs/>
        </w:rPr>
      </w:pPr>
    </w:p>
    <w:p w14:paraId="77FED7EC" w14:textId="07F20386" w:rsidR="00D0394D" w:rsidRPr="00D0394D" w:rsidRDefault="00D0394D" w:rsidP="002F462E">
      <w:pPr>
        <w:pStyle w:val="ListParagraph"/>
        <w:shd w:val="clear" w:color="auto" w:fill="FFFFFF"/>
        <w:spacing w:after="0" w:line="240" w:lineRule="auto"/>
        <w:rPr>
          <w:rFonts w:ascii="Times New Roman" w:hAnsi="Times New Roman" w:cs="Times New Roman"/>
          <w:b/>
          <w:bCs/>
          <w:i/>
          <w:iCs/>
        </w:rPr>
      </w:pPr>
      <w:r w:rsidRPr="00D0394D">
        <w:rPr>
          <w:rFonts w:ascii="Times New Roman" w:hAnsi="Times New Roman" w:cs="Times New Roman"/>
          <w:b/>
          <w:bCs/>
          <w:i/>
          <w:iCs/>
        </w:rPr>
        <w:t xml:space="preserve">Please review the </w:t>
      </w:r>
      <w:hyperlink r:id="rId25" w:history="1">
        <w:r w:rsidRPr="00D0394D">
          <w:rPr>
            <w:rStyle w:val="Hyperlink"/>
            <w:rFonts w:ascii="Times New Roman" w:hAnsi="Times New Roman" w:cs="Times New Roman"/>
            <w:b/>
            <w:bCs/>
            <w:i/>
            <w:iCs/>
          </w:rPr>
          <w:t>Abbott BinaxNOW in Residential Congregate Care Programs</w:t>
        </w:r>
      </w:hyperlink>
      <w:r w:rsidRPr="00D0394D">
        <w:rPr>
          <w:rFonts w:ascii="Times New Roman" w:hAnsi="Times New Roman" w:cs="Times New Roman"/>
          <w:b/>
          <w:bCs/>
          <w:i/>
          <w:iCs/>
        </w:rPr>
        <w:t xml:space="preserve"> document if you have not done so already</w:t>
      </w:r>
    </w:p>
    <w:p w14:paraId="6EBB7CFF" w14:textId="77777777" w:rsidR="00D0394D" w:rsidRDefault="00D0394D" w:rsidP="002F462E">
      <w:pPr>
        <w:pStyle w:val="ListParagraph"/>
        <w:shd w:val="clear" w:color="auto" w:fill="FFFFFF"/>
        <w:spacing w:after="0" w:line="240" w:lineRule="auto"/>
        <w:rPr>
          <w:rFonts w:ascii="Times New Roman" w:hAnsi="Times New Roman" w:cs="Times New Roman"/>
          <w:b/>
          <w:bCs/>
        </w:rPr>
      </w:pPr>
    </w:p>
    <w:p w14:paraId="1F10953A" w14:textId="7A4589AC" w:rsidR="00E4747E" w:rsidRDefault="00E4747E" w:rsidP="002F462E">
      <w:pPr>
        <w:pStyle w:val="ListParagraph"/>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How will results from the BinaxNOW test kits be reported to DPH?</w:t>
      </w:r>
    </w:p>
    <w:p w14:paraId="34A17132" w14:textId="1286C6E4" w:rsidR="00E4747E" w:rsidRDefault="00E4747E" w:rsidP="00E4747E">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lastRenderedPageBreak/>
        <w:t xml:space="preserve">EOHHS has </w:t>
      </w:r>
      <w:proofErr w:type="gramStart"/>
      <w:r>
        <w:rPr>
          <w:rFonts w:ascii="Times New Roman" w:hAnsi="Times New Roman" w:cs="Times New Roman"/>
        </w:rPr>
        <w:t>entered into</w:t>
      </w:r>
      <w:proofErr w:type="gramEnd"/>
      <w:r>
        <w:rPr>
          <w:rFonts w:ascii="Times New Roman" w:hAnsi="Times New Roman" w:cs="Times New Roman"/>
        </w:rPr>
        <w:t xml:space="preserve"> a contract with Project Beacon to provide a software platform for registering individuals to be tested, and for recording and reporting results to the Department of Public Health.</w:t>
      </w:r>
    </w:p>
    <w:p w14:paraId="5788D6B8" w14:textId="37A22C08" w:rsidR="00E4747E" w:rsidRDefault="00E4747E" w:rsidP="00E4747E">
      <w:pPr>
        <w:pStyle w:val="ListParagraph"/>
        <w:shd w:val="clear" w:color="auto" w:fill="FFFFFF"/>
        <w:spacing w:after="0" w:line="240" w:lineRule="auto"/>
        <w:rPr>
          <w:rFonts w:ascii="Times New Roman" w:hAnsi="Times New Roman" w:cs="Times New Roman"/>
        </w:rPr>
      </w:pPr>
    </w:p>
    <w:p w14:paraId="63800AEB" w14:textId="30B5AD0C" w:rsidR="00E4747E" w:rsidRPr="00E4747E" w:rsidRDefault="00E4747E" w:rsidP="00E4747E">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Additional information on how to access and use this software will be provided in a forthcoming document.</w:t>
      </w:r>
    </w:p>
    <w:p w14:paraId="347F7F77" w14:textId="77777777" w:rsidR="00E4747E" w:rsidRDefault="00E4747E" w:rsidP="00E4747E">
      <w:pPr>
        <w:pStyle w:val="ListParagraph"/>
        <w:shd w:val="clear" w:color="auto" w:fill="FFFFFF"/>
        <w:spacing w:after="0" w:line="240" w:lineRule="auto"/>
        <w:rPr>
          <w:rFonts w:ascii="Times New Roman" w:hAnsi="Times New Roman" w:cs="Times New Roman"/>
          <w:b/>
          <w:bCs/>
        </w:rPr>
      </w:pPr>
    </w:p>
    <w:p w14:paraId="16B64EA2" w14:textId="46C5FCC9" w:rsidR="002F462E" w:rsidRDefault="002F462E" w:rsidP="002F462E">
      <w:pPr>
        <w:pStyle w:val="ListParagraph"/>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Are staff permitted to self-administer the BinaxNOW kits</w:t>
      </w:r>
      <w:r w:rsidRPr="00AF06C7">
        <w:rPr>
          <w:rFonts w:ascii="Times New Roman" w:hAnsi="Times New Roman" w:cs="Times New Roman"/>
          <w:b/>
          <w:bCs/>
        </w:rPr>
        <w:t>?</w:t>
      </w:r>
    </w:p>
    <w:p w14:paraId="4AA793EA" w14:textId="77777777" w:rsidR="00C777D4" w:rsidRDefault="002F462E" w:rsidP="002F462E">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 xml:space="preserve">Staff are permitted to self-administer the nasal swab for the Abbott BinaxNOW test kits under observation from a trained professional. </w:t>
      </w:r>
    </w:p>
    <w:p w14:paraId="1ACF5EFB" w14:textId="77777777" w:rsidR="00C777D4" w:rsidRDefault="00C777D4" w:rsidP="002F462E">
      <w:pPr>
        <w:pStyle w:val="ListParagraph"/>
        <w:shd w:val="clear" w:color="auto" w:fill="FFFFFF"/>
        <w:spacing w:after="0" w:line="240" w:lineRule="auto"/>
        <w:rPr>
          <w:rFonts w:ascii="Times New Roman" w:hAnsi="Times New Roman" w:cs="Times New Roman"/>
        </w:rPr>
      </w:pPr>
    </w:p>
    <w:p w14:paraId="3B2A6470" w14:textId="19E25479" w:rsidR="002F462E" w:rsidRDefault="00E4747E" w:rsidP="002F462E">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A trained profession</w:t>
      </w:r>
      <w:r w:rsidR="00D0394D">
        <w:rPr>
          <w:rFonts w:ascii="Times New Roman" w:hAnsi="Times New Roman" w:cs="Times New Roman"/>
        </w:rPr>
        <w:t>al</w:t>
      </w:r>
      <w:r>
        <w:rPr>
          <w:rFonts w:ascii="Times New Roman" w:hAnsi="Times New Roman" w:cs="Times New Roman"/>
        </w:rPr>
        <w:t xml:space="preserve"> is defined </w:t>
      </w:r>
      <w:r w:rsidR="00C777D4">
        <w:rPr>
          <w:rFonts w:ascii="Times New Roman" w:hAnsi="Times New Roman" w:cs="Times New Roman"/>
        </w:rPr>
        <w:t>as someone who “</w:t>
      </w:r>
      <w:r w:rsidR="00C777D4" w:rsidRPr="00C777D4">
        <w:rPr>
          <w:rFonts w:ascii="Times New Roman" w:hAnsi="Times New Roman" w:cs="Times New Roman"/>
        </w:rPr>
        <w:t>has been trained to observe sample collection and</w:t>
      </w:r>
      <w:r w:rsidR="00C777D4">
        <w:rPr>
          <w:rFonts w:ascii="Times New Roman" w:hAnsi="Times New Roman" w:cs="Times New Roman"/>
        </w:rPr>
        <w:t xml:space="preserve"> </w:t>
      </w:r>
      <w:r w:rsidR="00C777D4" w:rsidRPr="00C777D4">
        <w:rPr>
          <w:rFonts w:ascii="Times New Roman" w:hAnsi="Times New Roman" w:cs="Times New Roman"/>
        </w:rPr>
        <w:t>provide instructions and result interpretation assistance to patients using</w:t>
      </w:r>
      <w:r w:rsidR="00C777D4">
        <w:rPr>
          <w:rFonts w:ascii="Times New Roman" w:hAnsi="Times New Roman" w:cs="Times New Roman"/>
        </w:rPr>
        <w:t>” the BinaxNOW test</w:t>
      </w:r>
      <w:r>
        <w:rPr>
          <w:rFonts w:ascii="Times New Roman" w:hAnsi="Times New Roman" w:cs="Times New Roman"/>
        </w:rPr>
        <w:t xml:space="preserve">. </w:t>
      </w:r>
      <w:r w:rsidR="002F462E">
        <w:rPr>
          <w:rFonts w:ascii="Times New Roman" w:hAnsi="Times New Roman" w:cs="Times New Roman"/>
        </w:rPr>
        <w:t xml:space="preserve">For the purposes of this program, a trained professional is </w:t>
      </w:r>
      <w:r w:rsidR="002F462E">
        <w:rPr>
          <w:rFonts w:ascii="Times New Roman" w:hAnsi="Times New Roman" w:cs="Times New Roman"/>
          <w:u w:val="single"/>
        </w:rPr>
        <w:t>not</w:t>
      </w:r>
      <w:r w:rsidR="002F462E">
        <w:rPr>
          <w:rFonts w:ascii="Times New Roman" w:hAnsi="Times New Roman" w:cs="Times New Roman"/>
        </w:rPr>
        <w:t xml:space="preserve"> required to be a healthcare provider.</w:t>
      </w:r>
    </w:p>
    <w:p w14:paraId="103AC732" w14:textId="39F87945" w:rsidR="002F462E" w:rsidRDefault="002F462E" w:rsidP="002F462E">
      <w:pPr>
        <w:pStyle w:val="ListParagraph"/>
        <w:shd w:val="clear" w:color="auto" w:fill="FFFFFF"/>
        <w:spacing w:after="0" w:line="240" w:lineRule="auto"/>
        <w:rPr>
          <w:rFonts w:ascii="Times New Roman" w:hAnsi="Times New Roman" w:cs="Times New Roman"/>
        </w:rPr>
      </w:pPr>
    </w:p>
    <w:p w14:paraId="0C511713" w14:textId="1AD486DB" w:rsidR="002F462E" w:rsidRPr="00E4747E" w:rsidRDefault="00E4747E" w:rsidP="00E4747E">
      <w:pPr>
        <w:pStyle w:val="ListParagraph"/>
        <w:numPr>
          <w:ilvl w:val="0"/>
          <w:numId w:val="1"/>
        </w:numPr>
        <w:shd w:val="clear" w:color="auto" w:fill="FFFFFF"/>
        <w:spacing w:after="0" w:line="240" w:lineRule="auto"/>
        <w:rPr>
          <w:rFonts w:ascii="Times New Roman" w:hAnsi="Times New Roman" w:cs="Times New Roman"/>
          <w:b/>
          <w:bCs/>
        </w:rPr>
      </w:pPr>
      <w:r w:rsidRPr="00E4747E">
        <w:rPr>
          <w:rFonts w:ascii="Times New Roman" w:hAnsi="Times New Roman" w:cs="Times New Roman"/>
          <w:b/>
          <w:bCs/>
        </w:rPr>
        <w:t xml:space="preserve">Are BinaxNOW tests as sensitive as </w:t>
      </w:r>
      <w:r w:rsidR="001C17A9" w:rsidRPr="001C17A9">
        <w:rPr>
          <w:rFonts w:ascii="Times New Roman" w:hAnsi="Times New Roman" w:cs="Times New Roman"/>
          <w:b/>
          <w:bCs/>
        </w:rPr>
        <w:t>polymerase</w:t>
      </w:r>
      <w:r w:rsidR="001C17A9" w:rsidRPr="001C17A9">
        <w:rPr>
          <w:rFonts w:ascii="Times New Roman" w:hAnsi="Times New Roman" w:cs="Times New Roman"/>
          <w:b/>
          <w:bCs/>
        </w:rPr>
        <w:t xml:space="preserve"> chain reaction (PCR)</w:t>
      </w:r>
      <w:r w:rsidR="001C17A9">
        <w:rPr>
          <w:rFonts w:ascii="Times New Roman" w:hAnsi="Times New Roman" w:cs="Times New Roman"/>
          <w:b/>
          <w:bCs/>
        </w:rPr>
        <w:t xml:space="preserve"> </w:t>
      </w:r>
      <w:r w:rsidRPr="00E4747E">
        <w:rPr>
          <w:rFonts w:ascii="Times New Roman" w:hAnsi="Times New Roman" w:cs="Times New Roman"/>
          <w:b/>
          <w:bCs/>
        </w:rPr>
        <w:t xml:space="preserve">tests? Are the results </w:t>
      </w:r>
      <w:r w:rsidR="001C17A9">
        <w:rPr>
          <w:rFonts w:ascii="Times New Roman" w:hAnsi="Times New Roman" w:cs="Times New Roman"/>
          <w:b/>
          <w:bCs/>
        </w:rPr>
        <w:t xml:space="preserve">of the BinaxNOW tests </w:t>
      </w:r>
      <w:r w:rsidRPr="00E4747E">
        <w:rPr>
          <w:rFonts w:ascii="Times New Roman" w:hAnsi="Times New Roman" w:cs="Times New Roman"/>
          <w:b/>
          <w:bCs/>
        </w:rPr>
        <w:t>reliable?</w:t>
      </w:r>
    </w:p>
    <w:p w14:paraId="6024BAB5" w14:textId="0C77D7B8" w:rsidR="00E4747E" w:rsidRDefault="0087665F" w:rsidP="00E4747E">
      <w:pPr>
        <w:shd w:val="clear" w:color="auto" w:fill="FFFFFF"/>
        <w:spacing w:after="0" w:line="240" w:lineRule="auto"/>
        <w:ind w:left="720"/>
        <w:rPr>
          <w:rFonts w:ascii="Times New Roman" w:hAnsi="Times New Roman" w:cs="Times New Roman"/>
        </w:rPr>
      </w:pPr>
      <w:r>
        <w:rPr>
          <w:rFonts w:ascii="Times New Roman" w:hAnsi="Times New Roman" w:cs="Times New Roman"/>
        </w:rPr>
        <w:t>BinaxNOW tests are not as sensitive as PCR</w:t>
      </w:r>
      <w:bookmarkStart w:id="7" w:name="_GoBack"/>
      <w:bookmarkEnd w:id="7"/>
      <w:r>
        <w:rPr>
          <w:rFonts w:ascii="Times New Roman" w:hAnsi="Times New Roman" w:cs="Times New Roman"/>
        </w:rPr>
        <w:t xml:space="preserve"> tests</w:t>
      </w:r>
      <w:r w:rsidR="00D0394D">
        <w:rPr>
          <w:rFonts w:ascii="Times New Roman" w:hAnsi="Times New Roman" w:cs="Times New Roman"/>
        </w:rPr>
        <w:t xml:space="preserve"> and are more likely to not detect COVID-19 in individuals with very low viral loads. However, for many programs, the benefits of rapid (15 minute) results vs. a 1</w:t>
      </w:r>
      <w:r w:rsidR="00F94266">
        <w:rPr>
          <w:rFonts w:ascii="Times New Roman" w:hAnsi="Times New Roman" w:cs="Times New Roman"/>
        </w:rPr>
        <w:t xml:space="preserve"> - </w:t>
      </w:r>
      <w:proofErr w:type="gramStart"/>
      <w:r w:rsidR="00F94266">
        <w:rPr>
          <w:rFonts w:ascii="Times New Roman" w:hAnsi="Times New Roman" w:cs="Times New Roman"/>
        </w:rPr>
        <w:t>3</w:t>
      </w:r>
      <w:r w:rsidR="00D0394D">
        <w:rPr>
          <w:rFonts w:ascii="Times New Roman" w:hAnsi="Times New Roman" w:cs="Times New Roman"/>
        </w:rPr>
        <w:t xml:space="preserve"> day</w:t>
      </w:r>
      <w:proofErr w:type="gramEnd"/>
      <w:r w:rsidR="00D0394D">
        <w:rPr>
          <w:rFonts w:ascii="Times New Roman" w:hAnsi="Times New Roman" w:cs="Times New Roman"/>
        </w:rPr>
        <w:t xml:space="preserve"> turnaround time for PCR testing may outweigh the risks of </w:t>
      </w:r>
      <w:r w:rsidR="00F94266">
        <w:rPr>
          <w:rFonts w:ascii="Times New Roman" w:hAnsi="Times New Roman" w:cs="Times New Roman"/>
        </w:rPr>
        <w:t xml:space="preserve">reduced </w:t>
      </w:r>
      <w:r w:rsidR="00D0394D">
        <w:rPr>
          <w:rFonts w:ascii="Times New Roman" w:hAnsi="Times New Roman" w:cs="Times New Roman"/>
        </w:rPr>
        <w:t>sensitivity.</w:t>
      </w:r>
    </w:p>
    <w:p w14:paraId="21FB2668" w14:textId="6C14FE75" w:rsidR="00D0394D" w:rsidRDefault="00D0394D" w:rsidP="00E4747E">
      <w:pPr>
        <w:shd w:val="clear" w:color="auto" w:fill="FFFFFF"/>
        <w:spacing w:after="0" w:line="240" w:lineRule="auto"/>
        <w:ind w:left="720"/>
        <w:rPr>
          <w:rFonts w:ascii="Times New Roman" w:hAnsi="Times New Roman" w:cs="Times New Roman"/>
        </w:rPr>
      </w:pPr>
    </w:p>
    <w:p w14:paraId="1914D612" w14:textId="7F0A0C7B" w:rsidR="00F94266" w:rsidRDefault="00F94266" w:rsidP="00E4747E">
      <w:pPr>
        <w:shd w:val="clear" w:color="auto" w:fill="FFFFFF"/>
        <w:spacing w:after="0" w:line="240" w:lineRule="auto"/>
        <w:ind w:left="720"/>
        <w:rPr>
          <w:rFonts w:ascii="Times New Roman" w:hAnsi="Times New Roman" w:cs="Times New Roman"/>
        </w:rPr>
      </w:pPr>
      <w:r>
        <w:rPr>
          <w:rFonts w:ascii="Times New Roman" w:hAnsi="Times New Roman" w:cs="Times New Roman"/>
        </w:rPr>
        <w:t>In a validation study conducted by the Commonwealth, t</w:t>
      </w:r>
      <w:r w:rsidRPr="00F94266">
        <w:rPr>
          <w:rFonts w:ascii="Times New Roman" w:hAnsi="Times New Roman" w:cs="Times New Roman"/>
        </w:rPr>
        <w:t>he BinaxNOW was found to have a very high sensitivity in adults with high viral loads, especially those who were newly symptomatic, and a very high specificity overall.  Overall, 98.6% sensitivity was observed in those with high viral levels (Ct &lt; 30) and 99%+ specificity was observed across all groups.</w:t>
      </w:r>
    </w:p>
    <w:p w14:paraId="6A1B1209" w14:textId="77777777" w:rsidR="00F94266" w:rsidRDefault="00F94266" w:rsidP="00E4747E">
      <w:pPr>
        <w:shd w:val="clear" w:color="auto" w:fill="FFFFFF"/>
        <w:spacing w:after="0" w:line="240" w:lineRule="auto"/>
        <w:ind w:left="720"/>
        <w:rPr>
          <w:rFonts w:ascii="Times New Roman" w:hAnsi="Times New Roman" w:cs="Times New Roman"/>
        </w:rPr>
      </w:pPr>
    </w:p>
    <w:p w14:paraId="1C019EAD" w14:textId="57F8C281" w:rsidR="00D0394D" w:rsidRDefault="00D0394D" w:rsidP="00E4747E">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For more details on the performance of the Abbott BinaxNOW test, please review Appendix B of </w:t>
      </w:r>
      <w:r w:rsidRPr="00D0394D">
        <w:rPr>
          <w:rFonts w:ascii="Times New Roman" w:hAnsi="Times New Roman" w:cs="Times New Roman"/>
        </w:rPr>
        <w:t xml:space="preserve">the </w:t>
      </w:r>
      <w:hyperlink r:id="rId26" w:history="1">
        <w:r w:rsidRPr="00D0394D">
          <w:rPr>
            <w:rStyle w:val="Hyperlink"/>
            <w:rFonts w:ascii="Times New Roman" w:hAnsi="Times New Roman" w:cs="Times New Roman"/>
            <w:u w:val="none"/>
          </w:rPr>
          <w:t>Abbott BinaxNOW in Residenti</w:t>
        </w:r>
        <w:r w:rsidRPr="00D0394D">
          <w:rPr>
            <w:rStyle w:val="Hyperlink"/>
            <w:rFonts w:ascii="Times New Roman" w:hAnsi="Times New Roman" w:cs="Times New Roman"/>
            <w:u w:val="none"/>
          </w:rPr>
          <w:t>a</w:t>
        </w:r>
        <w:r w:rsidRPr="00D0394D">
          <w:rPr>
            <w:rStyle w:val="Hyperlink"/>
            <w:rFonts w:ascii="Times New Roman" w:hAnsi="Times New Roman" w:cs="Times New Roman"/>
            <w:u w:val="none"/>
          </w:rPr>
          <w:t>l Congregate Care Programs</w:t>
        </w:r>
      </w:hyperlink>
      <w:r w:rsidRPr="00D0394D">
        <w:rPr>
          <w:rFonts w:ascii="Times New Roman" w:hAnsi="Times New Roman" w:cs="Times New Roman"/>
        </w:rPr>
        <w:t xml:space="preserve"> document</w:t>
      </w:r>
      <w:r>
        <w:rPr>
          <w:rFonts w:ascii="Times New Roman" w:hAnsi="Times New Roman" w:cs="Times New Roman"/>
        </w:rPr>
        <w:t>.</w:t>
      </w:r>
    </w:p>
    <w:p w14:paraId="26BDE841" w14:textId="6CE28BB2" w:rsidR="00E4747E" w:rsidRDefault="00E4747E" w:rsidP="00E4747E">
      <w:pPr>
        <w:shd w:val="clear" w:color="auto" w:fill="FFFFFF"/>
        <w:spacing w:after="0" w:line="240" w:lineRule="auto"/>
        <w:ind w:left="720"/>
        <w:rPr>
          <w:rFonts w:ascii="Times New Roman" w:hAnsi="Times New Roman" w:cs="Times New Roman"/>
        </w:rPr>
      </w:pPr>
    </w:p>
    <w:p w14:paraId="4A1628A6" w14:textId="14242AB8" w:rsidR="00E4747E" w:rsidRPr="00D0394D" w:rsidRDefault="00E4747E" w:rsidP="00E4747E">
      <w:pPr>
        <w:pStyle w:val="ListParagraph"/>
        <w:numPr>
          <w:ilvl w:val="0"/>
          <w:numId w:val="1"/>
        </w:numPr>
        <w:shd w:val="clear" w:color="auto" w:fill="FFFFFF"/>
        <w:spacing w:after="0" w:line="240" w:lineRule="auto"/>
        <w:rPr>
          <w:rFonts w:ascii="Times New Roman" w:hAnsi="Times New Roman" w:cs="Times New Roman"/>
          <w:b/>
          <w:bCs/>
        </w:rPr>
      </w:pPr>
      <w:r w:rsidRPr="00D0394D">
        <w:rPr>
          <w:rFonts w:ascii="Times New Roman" w:hAnsi="Times New Roman" w:cs="Times New Roman"/>
          <w:b/>
          <w:bCs/>
        </w:rPr>
        <w:t>Do the results of BinaxNOW tests need to be confirmed by PCR testing?</w:t>
      </w:r>
    </w:p>
    <w:p w14:paraId="2234454F" w14:textId="6C33860A" w:rsidR="00E4747E" w:rsidRPr="00E4747E" w:rsidRDefault="00E4747E" w:rsidP="00D0394D">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For the purposes of this program, BinaxNOW tests which are administered for the purposes of surveillance testing (routine testing of asymptomatic individuals) do not need to be confirmed by a PCR tests. However, </w:t>
      </w:r>
      <w:r w:rsidR="00D0394D">
        <w:rPr>
          <w:rFonts w:ascii="Times New Roman" w:hAnsi="Times New Roman" w:cs="Times New Roman"/>
        </w:rPr>
        <w:t xml:space="preserve">individuals with a strong clinical suspicion of COVID-19 who test negative on the Abbott BinaxNOW tests should be encouraged to consider a confirmatory PCR test to rule out COVID-19. Full details are available in the </w:t>
      </w:r>
      <w:hyperlink r:id="rId27" w:history="1">
        <w:r w:rsidR="00D0394D" w:rsidRPr="00D0394D">
          <w:rPr>
            <w:rStyle w:val="Hyperlink"/>
            <w:rFonts w:ascii="Times New Roman" w:hAnsi="Times New Roman" w:cs="Times New Roman"/>
          </w:rPr>
          <w:t xml:space="preserve">Abbott BinaxNOW </w:t>
        </w:r>
        <w:r w:rsidR="00F94266">
          <w:rPr>
            <w:rStyle w:val="Hyperlink"/>
            <w:rFonts w:ascii="Times New Roman" w:hAnsi="Times New Roman" w:cs="Times New Roman"/>
          </w:rPr>
          <w:t>document</w:t>
        </w:r>
      </w:hyperlink>
    </w:p>
    <w:p w14:paraId="14869790" w14:textId="26C9FE5A" w:rsidR="002F462E" w:rsidRDefault="002F462E" w:rsidP="002F462E">
      <w:pPr>
        <w:shd w:val="clear" w:color="auto" w:fill="FFFFFF"/>
        <w:spacing w:after="0" w:line="240" w:lineRule="auto"/>
        <w:rPr>
          <w:rFonts w:ascii="Times New Roman" w:hAnsi="Times New Roman" w:cs="Times New Roman"/>
          <w:b/>
          <w:bCs/>
        </w:rPr>
      </w:pPr>
    </w:p>
    <w:p w14:paraId="2231E9D9" w14:textId="77777777" w:rsidR="002F462E" w:rsidRPr="002F462E" w:rsidRDefault="002F462E" w:rsidP="002F462E">
      <w:pPr>
        <w:shd w:val="clear" w:color="auto" w:fill="FFFFFF"/>
        <w:spacing w:after="0" w:line="240" w:lineRule="auto"/>
        <w:rPr>
          <w:rFonts w:ascii="Times New Roman" w:hAnsi="Times New Roman" w:cs="Times New Roman"/>
          <w:b/>
          <w:bCs/>
        </w:rPr>
      </w:pPr>
    </w:p>
    <w:p w14:paraId="5B94D9B9" w14:textId="43867D84" w:rsidR="008D6EC5" w:rsidRDefault="002F462E" w:rsidP="008D6EC5">
      <w:pPr>
        <w:pStyle w:val="Heading2"/>
        <w:rPr>
          <w:rFonts w:ascii="Times New Roman" w:hAnsi="Times New Roman" w:cs="Times New Roman"/>
          <w:b/>
          <w:bCs/>
        </w:rPr>
      </w:pPr>
      <w:bookmarkStart w:id="8" w:name="_Toc59637315"/>
      <w:r>
        <w:rPr>
          <w:rFonts w:ascii="Times New Roman" w:hAnsi="Times New Roman" w:cs="Times New Roman"/>
          <w:b/>
          <w:bCs/>
        </w:rPr>
        <w:t xml:space="preserve">FAQs for </w:t>
      </w:r>
      <w:r w:rsidR="008D6EC5" w:rsidRPr="008D6EC5">
        <w:rPr>
          <w:rFonts w:ascii="Times New Roman" w:hAnsi="Times New Roman" w:cs="Times New Roman"/>
          <w:b/>
          <w:bCs/>
        </w:rPr>
        <w:t>Color Genomics</w:t>
      </w:r>
      <w:r w:rsidR="00F94266">
        <w:rPr>
          <w:rFonts w:ascii="Times New Roman" w:hAnsi="Times New Roman" w:cs="Times New Roman"/>
          <w:b/>
          <w:bCs/>
        </w:rPr>
        <w:t xml:space="preserve"> tests</w:t>
      </w:r>
      <w:bookmarkEnd w:id="8"/>
    </w:p>
    <w:p w14:paraId="467BC75F" w14:textId="16FA1192" w:rsidR="002F462E" w:rsidRPr="002F462E" w:rsidRDefault="002F462E" w:rsidP="002F462E">
      <w:pPr>
        <w:rPr>
          <w:rFonts w:ascii="Times New Roman" w:hAnsi="Times New Roman" w:cs="Times New Roman"/>
        </w:rPr>
      </w:pPr>
      <w:r w:rsidRPr="002F462E">
        <w:rPr>
          <w:rFonts w:ascii="Times New Roman" w:hAnsi="Times New Roman" w:cs="Times New Roman"/>
        </w:rPr>
        <w:t>Color Genomics has created a dedicated webpage for the partnership with EOHHS. This page includes detailed information on enrollment, testing &amp; shipping, and FAQs. This page will be updated on a continuous basis.</w:t>
      </w:r>
    </w:p>
    <w:p w14:paraId="0CBD58A0" w14:textId="1F3DD186" w:rsidR="002F462E" w:rsidRPr="002F462E" w:rsidRDefault="002F462E" w:rsidP="002F462E">
      <w:pPr>
        <w:rPr>
          <w:rFonts w:ascii="Times New Roman" w:hAnsi="Times New Roman" w:cs="Times New Roman"/>
        </w:rPr>
      </w:pPr>
      <w:r w:rsidRPr="002F462E">
        <w:rPr>
          <w:rFonts w:ascii="Times New Roman" w:hAnsi="Times New Roman" w:cs="Times New Roman"/>
        </w:rPr>
        <w:t xml:space="preserve">Please reference the following webpage for additional information: </w:t>
      </w:r>
      <w:hyperlink r:id="rId28" w:history="1">
        <w:r w:rsidRPr="002F462E">
          <w:rPr>
            <w:rStyle w:val="Hyperlink"/>
            <w:rFonts w:ascii="Times New Roman" w:hAnsi="Times New Roman" w:cs="Times New Roman"/>
          </w:rPr>
          <w:t>https://www.color.com/ma-eohhs-color-testing</w:t>
        </w:r>
      </w:hyperlink>
    </w:p>
    <w:p w14:paraId="044C421E" w14:textId="77777777" w:rsidR="002F462E" w:rsidRPr="002F462E" w:rsidRDefault="002F462E" w:rsidP="002F462E">
      <w:pPr>
        <w:rPr>
          <w:rFonts w:ascii="Times New Roman" w:hAnsi="Times New Roman" w:cs="Times New Roman"/>
        </w:rPr>
      </w:pPr>
    </w:p>
    <w:p w14:paraId="1F89E4AB" w14:textId="77777777" w:rsidR="002F462E" w:rsidRPr="002F462E" w:rsidRDefault="002F462E" w:rsidP="002F462E"/>
    <w:sectPr w:rsidR="002F462E" w:rsidRPr="002F462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150EB" w14:textId="77777777" w:rsidR="009701F8" w:rsidRDefault="009701F8" w:rsidP="00AC5B38">
      <w:pPr>
        <w:spacing w:after="0" w:line="240" w:lineRule="auto"/>
      </w:pPr>
      <w:r>
        <w:separator/>
      </w:r>
    </w:p>
  </w:endnote>
  <w:endnote w:type="continuationSeparator" w:id="0">
    <w:p w14:paraId="5816DFF8" w14:textId="77777777" w:rsidR="009701F8" w:rsidRDefault="009701F8"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682739"/>
      <w:docPartObj>
        <w:docPartGallery w:val="Page Numbers (Bottom of Page)"/>
        <w:docPartUnique/>
      </w:docPartObj>
    </w:sdtPr>
    <w:sdtEndPr/>
    <w:sdtContent>
      <w:sdt>
        <w:sdtPr>
          <w:id w:val="-1769616900"/>
          <w:docPartObj>
            <w:docPartGallery w:val="Page Numbers (Top of Page)"/>
            <w:docPartUnique/>
          </w:docPartObj>
        </w:sdtPr>
        <w:sdtEndPr/>
        <w:sdtContent>
          <w:p w14:paraId="416B65A5" w14:textId="0FA00626" w:rsidR="00BC4956" w:rsidRDefault="00BC49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40B31B" w14:textId="77777777" w:rsidR="00BC4956" w:rsidRDefault="00BC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053E" w14:textId="77777777" w:rsidR="009701F8" w:rsidRDefault="009701F8" w:rsidP="00AC5B38">
      <w:pPr>
        <w:spacing w:after="0" w:line="240" w:lineRule="auto"/>
      </w:pPr>
      <w:r>
        <w:separator/>
      </w:r>
    </w:p>
  </w:footnote>
  <w:footnote w:type="continuationSeparator" w:id="0">
    <w:p w14:paraId="13C6FFCD" w14:textId="77777777" w:rsidR="009701F8" w:rsidRDefault="009701F8" w:rsidP="00AC5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710B"/>
    <w:multiLevelType w:val="hybridMultilevel"/>
    <w:tmpl w:val="D44A9BC0"/>
    <w:lvl w:ilvl="0" w:tplc="108C3ACA">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B6E04"/>
    <w:multiLevelType w:val="hybridMultilevel"/>
    <w:tmpl w:val="CD826ED2"/>
    <w:lvl w:ilvl="0" w:tplc="108C3ACA">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0232D"/>
    <w:multiLevelType w:val="hybridMultilevel"/>
    <w:tmpl w:val="F51E43CE"/>
    <w:lvl w:ilvl="0" w:tplc="F776F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20234"/>
    <w:rsid w:val="00026F90"/>
    <w:rsid w:val="00040568"/>
    <w:rsid w:val="00043B5C"/>
    <w:rsid w:val="00044C8F"/>
    <w:rsid w:val="000721DE"/>
    <w:rsid w:val="00073C72"/>
    <w:rsid w:val="00075361"/>
    <w:rsid w:val="00090D97"/>
    <w:rsid w:val="00091A6C"/>
    <w:rsid w:val="000A28B7"/>
    <w:rsid w:val="000A3106"/>
    <w:rsid w:val="000A34C8"/>
    <w:rsid w:val="000B347D"/>
    <w:rsid w:val="000C12C6"/>
    <w:rsid w:val="000C4316"/>
    <w:rsid w:val="000D5BD4"/>
    <w:rsid w:val="000E5F95"/>
    <w:rsid w:val="00105227"/>
    <w:rsid w:val="001111EE"/>
    <w:rsid w:val="0011505C"/>
    <w:rsid w:val="0011519B"/>
    <w:rsid w:val="00117530"/>
    <w:rsid w:val="00120B27"/>
    <w:rsid w:val="00143B69"/>
    <w:rsid w:val="001735CE"/>
    <w:rsid w:val="00184E09"/>
    <w:rsid w:val="001A1260"/>
    <w:rsid w:val="001A1BD2"/>
    <w:rsid w:val="001C089E"/>
    <w:rsid w:val="001C0A6A"/>
    <w:rsid w:val="001C17A9"/>
    <w:rsid w:val="001D32CE"/>
    <w:rsid w:val="001D3EED"/>
    <w:rsid w:val="001E2C67"/>
    <w:rsid w:val="001F5E51"/>
    <w:rsid w:val="00224DEF"/>
    <w:rsid w:val="002278B3"/>
    <w:rsid w:val="00227DA7"/>
    <w:rsid w:val="00231254"/>
    <w:rsid w:val="00237BE7"/>
    <w:rsid w:val="00245FEC"/>
    <w:rsid w:val="002673DB"/>
    <w:rsid w:val="00270442"/>
    <w:rsid w:val="00272E84"/>
    <w:rsid w:val="0027571D"/>
    <w:rsid w:val="00293DC0"/>
    <w:rsid w:val="00295996"/>
    <w:rsid w:val="002A1346"/>
    <w:rsid w:val="002B4CA2"/>
    <w:rsid w:val="002F462E"/>
    <w:rsid w:val="002F62A1"/>
    <w:rsid w:val="003137C8"/>
    <w:rsid w:val="00317C60"/>
    <w:rsid w:val="003276CD"/>
    <w:rsid w:val="003365CD"/>
    <w:rsid w:val="0034048B"/>
    <w:rsid w:val="00346638"/>
    <w:rsid w:val="00351588"/>
    <w:rsid w:val="003705EF"/>
    <w:rsid w:val="0037650C"/>
    <w:rsid w:val="003A3D0D"/>
    <w:rsid w:val="003B1147"/>
    <w:rsid w:val="003C5862"/>
    <w:rsid w:val="003D5FB1"/>
    <w:rsid w:val="003E053D"/>
    <w:rsid w:val="003F4B9D"/>
    <w:rsid w:val="003F7609"/>
    <w:rsid w:val="00405D9B"/>
    <w:rsid w:val="0041524A"/>
    <w:rsid w:val="00417017"/>
    <w:rsid w:val="0042666F"/>
    <w:rsid w:val="004342C0"/>
    <w:rsid w:val="004534FE"/>
    <w:rsid w:val="00463679"/>
    <w:rsid w:val="004B4891"/>
    <w:rsid w:val="004D3BE5"/>
    <w:rsid w:val="004E5F0B"/>
    <w:rsid w:val="004E64E6"/>
    <w:rsid w:val="004F5D71"/>
    <w:rsid w:val="00517249"/>
    <w:rsid w:val="00530F56"/>
    <w:rsid w:val="00542539"/>
    <w:rsid w:val="00546A16"/>
    <w:rsid w:val="00552D68"/>
    <w:rsid w:val="00565289"/>
    <w:rsid w:val="005A2D6B"/>
    <w:rsid w:val="005A305B"/>
    <w:rsid w:val="005B2B65"/>
    <w:rsid w:val="005B3E9E"/>
    <w:rsid w:val="005C1247"/>
    <w:rsid w:val="005E1CC7"/>
    <w:rsid w:val="005E6129"/>
    <w:rsid w:val="005E6945"/>
    <w:rsid w:val="006168F3"/>
    <w:rsid w:val="0063153E"/>
    <w:rsid w:val="00633552"/>
    <w:rsid w:val="0063630C"/>
    <w:rsid w:val="006734E9"/>
    <w:rsid w:val="00673EF6"/>
    <w:rsid w:val="00675B6A"/>
    <w:rsid w:val="00692750"/>
    <w:rsid w:val="006A12B5"/>
    <w:rsid w:val="006E0450"/>
    <w:rsid w:val="0070546D"/>
    <w:rsid w:val="007070B1"/>
    <w:rsid w:val="00710D65"/>
    <w:rsid w:val="00711B8F"/>
    <w:rsid w:val="007470C5"/>
    <w:rsid w:val="007500A3"/>
    <w:rsid w:val="00753456"/>
    <w:rsid w:val="00786E89"/>
    <w:rsid w:val="0079242D"/>
    <w:rsid w:val="00796ED4"/>
    <w:rsid w:val="007D575C"/>
    <w:rsid w:val="007D5D64"/>
    <w:rsid w:val="0080412F"/>
    <w:rsid w:val="008228A3"/>
    <w:rsid w:val="00835346"/>
    <w:rsid w:val="00840E67"/>
    <w:rsid w:val="00847138"/>
    <w:rsid w:val="00856310"/>
    <w:rsid w:val="008730E0"/>
    <w:rsid w:val="0087665F"/>
    <w:rsid w:val="00896CA7"/>
    <w:rsid w:val="008A1A34"/>
    <w:rsid w:val="008A64F7"/>
    <w:rsid w:val="008C6BAE"/>
    <w:rsid w:val="008D6EC5"/>
    <w:rsid w:val="008E41C6"/>
    <w:rsid w:val="008F6BFC"/>
    <w:rsid w:val="00901249"/>
    <w:rsid w:val="00911E68"/>
    <w:rsid w:val="0091681D"/>
    <w:rsid w:val="00926160"/>
    <w:rsid w:val="0093763A"/>
    <w:rsid w:val="00965C05"/>
    <w:rsid w:val="00967698"/>
    <w:rsid w:val="009701F8"/>
    <w:rsid w:val="00977F30"/>
    <w:rsid w:val="009928B2"/>
    <w:rsid w:val="00A07D0D"/>
    <w:rsid w:val="00A21435"/>
    <w:rsid w:val="00A2161B"/>
    <w:rsid w:val="00A21A5D"/>
    <w:rsid w:val="00A2453C"/>
    <w:rsid w:val="00A301E6"/>
    <w:rsid w:val="00A41BE0"/>
    <w:rsid w:val="00A7309E"/>
    <w:rsid w:val="00A90686"/>
    <w:rsid w:val="00A966AC"/>
    <w:rsid w:val="00AA0394"/>
    <w:rsid w:val="00AB0CA6"/>
    <w:rsid w:val="00AB7BE2"/>
    <w:rsid w:val="00AB7C9A"/>
    <w:rsid w:val="00AC4200"/>
    <w:rsid w:val="00AC5B38"/>
    <w:rsid w:val="00AE0976"/>
    <w:rsid w:val="00AF06C7"/>
    <w:rsid w:val="00B17701"/>
    <w:rsid w:val="00B204AB"/>
    <w:rsid w:val="00B32BFA"/>
    <w:rsid w:val="00B45BC8"/>
    <w:rsid w:val="00B5185C"/>
    <w:rsid w:val="00B56B1B"/>
    <w:rsid w:val="00B8637E"/>
    <w:rsid w:val="00B95596"/>
    <w:rsid w:val="00BC01BD"/>
    <w:rsid w:val="00BC2ABF"/>
    <w:rsid w:val="00BC3360"/>
    <w:rsid w:val="00BC4956"/>
    <w:rsid w:val="00BC4B68"/>
    <w:rsid w:val="00BC5EFB"/>
    <w:rsid w:val="00BD1382"/>
    <w:rsid w:val="00BE7EFE"/>
    <w:rsid w:val="00BF3C10"/>
    <w:rsid w:val="00BF7D67"/>
    <w:rsid w:val="00C001BB"/>
    <w:rsid w:val="00C0656B"/>
    <w:rsid w:val="00C21DC6"/>
    <w:rsid w:val="00C278EE"/>
    <w:rsid w:val="00C417B1"/>
    <w:rsid w:val="00C65FF3"/>
    <w:rsid w:val="00C74587"/>
    <w:rsid w:val="00C7491A"/>
    <w:rsid w:val="00C75E15"/>
    <w:rsid w:val="00C76E3F"/>
    <w:rsid w:val="00C777D4"/>
    <w:rsid w:val="00C92988"/>
    <w:rsid w:val="00CB1D2A"/>
    <w:rsid w:val="00D0394D"/>
    <w:rsid w:val="00D11F35"/>
    <w:rsid w:val="00D178B5"/>
    <w:rsid w:val="00D272E5"/>
    <w:rsid w:val="00D3633A"/>
    <w:rsid w:val="00D36868"/>
    <w:rsid w:val="00D42023"/>
    <w:rsid w:val="00D448DA"/>
    <w:rsid w:val="00D65615"/>
    <w:rsid w:val="00D77736"/>
    <w:rsid w:val="00D945C4"/>
    <w:rsid w:val="00DA154A"/>
    <w:rsid w:val="00DB315C"/>
    <w:rsid w:val="00DB3B35"/>
    <w:rsid w:val="00DE2C66"/>
    <w:rsid w:val="00DF136D"/>
    <w:rsid w:val="00DF19B7"/>
    <w:rsid w:val="00DF4493"/>
    <w:rsid w:val="00E05DAA"/>
    <w:rsid w:val="00E345B0"/>
    <w:rsid w:val="00E40E06"/>
    <w:rsid w:val="00E44318"/>
    <w:rsid w:val="00E446F9"/>
    <w:rsid w:val="00E4747E"/>
    <w:rsid w:val="00E64E25"/>
    <w:rsid w:val="00E71284"/>
    <w:rsid w:val="00E83EF9"/>
    <w:rsid w:val="00E91E0A"/>
    <w:rsid w:val="00E92E46"/>
    <w:rsid w:val="00EC29F4"/>
    <w:rsid w:val="00ED1E71"/>
    <w:rsid w:val="00ED3AC0"/>
    <w:rsid w:val="00ED51C6"/>
    <w:rsid w:val="00EF0D1A"/>
    <w:rsid w:val="00F00E48"/>
    <w:rsid w:val="00F14C62"/>
    <w:rsid w:val="00F15227"/>
    <w:rsid w:val="00F1735D"/>
    <w:rsid w:val="00F2711E"/>
    <w:rsid w:val="00F66F4F"/>
    <w:rsid w:val="00F94266"/>
    <w:rsid w:val="00F94562"/>
    <w:rsid w:val="00FA6096"/>
    <w:rsid w:val="00FC4596"/>
    <w:rsid w:val="00FC525E"/>
    <w:rsid w:val="00FD55C7"/>
    <w:rsid w:val="00FD5EE2"/>
    <w:rsid w:val="00FD60B4"/>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1A83E2B4-6528-40F5-8072-6198F19F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1">
    <w:name w:val="heading 1"/>
    <w:basedOn w:val="Normal"/>
    <w:next w:val="Normal"/>
    <w:link w:val="Heading1Char"/>
    <w:uiPriority w:val="9"/>
    <w:qFormat/>
    <w:rsid w:val="008D6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13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UnresolvedMention4">
    <w:name w:val="Unresolved Mention4"/>
    <w:basedOn w:val="DefaultParagraphFont"/>
    <w:uiPriority w:val="99"/>
    <w:semiHidden/>
    <w:unhideWhenUsed/>
    <w:rsid w:val="004E64E6"/>
    <w:rPr>
      <w:color w:val="605E5C"/>
      <w:shd w:val="clear" w:color="auto" w:fill="E1DFDD"/>
    </w:rPr>
  </w:style>
  <w:style w:type="character" w:styleId="UnresolvedMention">
    <w:name w:val="Unresolved Mention"/>
    <w:basedOn w:val="DefaultParagraphFont"/>
    <w:uiPriority w:val="99"/>
    <w:semiHidden/>
    <w:unhideWhenUsed/>
    <w:rsid w:val="00BF7D67"/>
    <w:rPr>
      <w:color w:val="605E5C"/>
      <w:shd w:val="clear" w:color="auto" w:fill="E1DFDD"/>
    </w:rPr>
  </w:style>
  <w:style w:type="character" w:customStyle="1" w:styleId="Heading3Char">
    <w:name w:val="Heading 3 Char"/>
    <w:basedOn w:val="DefaultParagraphFont"/>
    <w:link w:val="Heading3"/>
    <w:uiPriority w:val="9"/>
    <w:semiHidden/>
    <w:rsid w:val="00DF136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D6EC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D6EC5"/>
    <w:pPr>
      <w:outlineLvl w:val="9"/>
    </w:pPr>
  </w:style>
  <w:style w:type="paragraph" w:styleId="TOC2">
    <w:name w:val="toc 2"/>
    <w:basedOn w:val="Normal"/>
    <w:next w:val="Normal"/>
    <w:autoRedefine/>
    <w:uiPriority w:val="39"/>
    <w:unhideWhenUsed/>
    <w:rsid w:val="008D6EC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3539">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34126807">
      <w:bodyDiv w:val="1"/>
      <w:marLeft w:val="0"/>
      <w:marRight w:val="0"/>
      <w:marTop w:val="0"/>
      <w:marBottom w:val="0"/>
      <w:divBdr>
        <w:top w:val="none" w:sz="0" w:space="0" w:color="auto"/>
        <w:left w:val="none" w:sz="0" w:space="0" w:color="auto"/>
        <w:bottom w:val="none" w:sz="0" w:space="0" w:color="auto"/>
        <w:right w:val="none" w:sz="0" w:space="0" w:color="auto"/>
      </w:divBdr>
    </w:div>
    <w:div w:id="310066711">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12571542">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669335588">
      <w:bodyDiv w:val="1"/>
      <w:marLeft w:val="0"/>
      <w:marRight w:val="0"/>
      <w:marTop w:val="0"/>
      <w:marBottom w:val="0"/>
      <w:divBdr>
        <w:top w:val="none" w:sz="0" w:space="0" w:color="auto"/>
        <w:left w:val="none" w:sz="0" w:space="0" w:color="auto"/>
        <w:bottom w:val="none" w:sz="0" w:space="0" w:color="auto"/>
        <w:right w:val="none" w:sz="0" w:space="0" w:color="auto"/>
      </w:divBdr>
    </w:div>
    <w:div w:id="884609167">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980423341">
      <w:bodyDiv w:val="1"/>
      <w:marLeft w:val="0"/>
      <w:marRight w:val="0"/>
      <w:marTop w:val="0"/>
      <w:marBottom w:val="0"/>
      <w:divBdr>
        <w:top w:val="none" w:sz="0" w:space="0" w:color="auto"/>
        <w:left w:val="none" w:sz="0" w:space="0" w:color="auto"/>
        <w:bottom w:val="none" w:sz="0" w:space="0" w:color="auto"/>
        <w:right w:val="none" w:sz="0" w:space="0" w:color="auto"/>
      </w:divBdr>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737430747">
      <w:bodyDiv w:val="1"/>
      <w:marLeft w:val="0"/>
      <w:marRight w:val="0"/>
      <w:marTop w:val="0"/>
      <w:marBottom w:val="0"/>
      <w:divBdr>
        <w:top w:val="none" w:sz="0" w:space="0" w:color="auto"/>
        <w:left w:val="none" w:sz="0" w:space="0" w:color="auto"/>
        <w:bottom w:val="none" w:sz="0" w:space="0" w:color="auto"/>
        <w:right w:val="none" w:sz="0" w:space="0" w:color="auto"/>
      </w:divBdr>
      <w:divsChild>
        <w:div w:id="2001688712">
          <w:marLeft w:val="0"/>
          <w:marRight w:val="0"/>
          <w:marTop w:val="0"/>
          <w:marBottom w:val="0"/>
          <w:divBdr>
            <w:top w:val="none" w:sz="0" w:space="0" w:color="auto"/>
            <w:left w:val="none" w:sz="0" w:space="0" w:color="auto"/>
            <w:bottom w:val="none" w:sz="0" w:space="0" w:color="auto"/>
            <w:right w:val="none" w:sz="0" w:space="0" w:color="auto"/>
          </w:divBdr>
          <w:divsChild>
            <w:div w:id="290937759">
              <w:marLeft w:val="0"/>
              <w:marRight w:val="0"/>
              <w:marTop w:val="0"/>
              <w:marBottom w:val="0"/>
              <w:divBdr>
                <w:top w:val="none" w:sz="0" w:space="0" w:color="auto"/>
                <w:left w:val="none" w:sz="0" w:space="0" w:color="auto"/>
                <w:bottom w:val="none" w:sz="0" w:space="0" w:color="auto"/>
                <w:right w:val="none" w:sz="0" w:space="0" w:color="auto"/>
              </w:divBdr>
              <w:divsChild>
                <w:div w:id="1439179127">
                  <w:marLeft w:val="0"/>
                  <w:marRight w:val="0"/>
                  <w:marTop w:val="0"/>
                  <w:marBottom w:val="240"/>
                  <w:divBdr>
                    <w:top w:val="none" w:sz="0" w:space="0" w:color="auto"/>
                    <w:left w:val="none" w:sz="0" w:space="0" w:color="auto"/>
                    <w:bottom w:val="none" w:sz="0" w:space="0" w:color="auto"/>
                    <w:right w:val="none" w:sz="0" w:space="0" w:color="auto"/>
                  </w:divBdr>
                  <w:divsChild>
                    <w:div w:id="442961419">
                      <w:marLeft w:val="0"/>
                      <w:marRight w:val="0"/>
                      <w:marTop w:val="0"/>
                      <w:marBottom w:val="0"/>
                      <w:divBdr>
                        <w:top w:val="none" w:sz="0" w:space="0" w:color="auto"/>
                        <w:left w:val="none" w:sz="0" w:space="0" w:color="auto"/>
                        <w:bottom w:val="none" w:sz="0" w:space="0" w:color="auto"/>
                        <w:right w:val="none" w:sz="0" w:space="0" w:color="auto"/>
                      </w:divBdr>
                      <w:divsChild>
                        <w:div w:id="981037985">
                          <w:marLeft w:val="0"/>
                          <w:marRight w:val="0"/>
                          <w:marTop w:val="0"/>
                          <w:marBottom w:val="0"/>
                          <w:divBdr>
                            <w:top w:val="none" w:sz="0" w:space="0" w:color="auto"/>
                            <w:left w:val="none" w:sz="0" w:space="0" w:color="auto"/>
                            <w:bottom w:val="none" w:sz="0" w:space="0" w:color="auto"/>
                            <w:right w:val="none" w:sz="0" w:space="0" w:color="auto"/>
                          </w:divBdr>
                          <w:divsChild>
                            <w:div w:id="432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31731">
          <w:marLeft w:val="0"/>
          <w:marRight w:val="0"/>
          <w:marTop w:val="0"/>
          <w:marBottom w:val="0"/>
          <w:divBdr>
            <w:top w:val="none" w:sz="0" w:space="0" w:color="auto"/>
            <w:left w:val="none" w:sz="0" w:space="0" w:color="auto"/>
            <w:bottom w:val="none" w:sz="0" w:space="0" w:color="auto"/>
            <w:right w:val="none" w:sz="0" w:space="0" w:color="auto"/>
          </w:divBdr>
          <w:divsChild>
            <w:div w:id="16810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960212886">
      <w:bodyDiv w:val="1"/>
      <w:marLeft w:val="0"/>
      <w:marRight w:val="0"/>
      <w:marTop w:val="0"/>
      <w:marBottom w:val="0"/>
      <w:divBdr>
        <w:top w:val="none" w:sz="0" w:space="0" w:color="auto"/>
        <w:left w:val="none" w:sz="0" w:space="0" w:color="auto"/>
        <w:bottom w:val="none" w:sz="0" w:space="0" w:color="auto"/>
        <w:right w:val="none" w:sz="0" w:space="0" w:color="auto"/>
      </w:divBdr>
      <w:divsChild>
        <w:div w:id="1009452051">
          <w:marLeft w:val="0"/>
          <w:marRight w:val="0"/>
          <w:marTop w:val="0"/>
          <w:marBottom w:val="0"/>
          <w:divBdr>
            <w:top w:val="none" w:sz="0" w:space="0" w:color="auto"/>
            <w:left w:val="none" w:sz="0" w:space="0" w:color="auto"/>
            <w:bottom w:val="none" w:sz="0" w:space="0" w:color="auto"/>
            <w:right w:val="none" w:sz="0" w:space="0" w:color="auto"/>
          </w:divBdr>
          <w:divsChild>
            <w:div w:id="1110465834">
              <w:marLeft w:val="0"/>
              <w:marRight w:val="0"/>
              <w:marTop w:val="0"/>
              <w:marBottom w:val="0"/>
              <w:divBdr>
                <w:top w:val="none" w:sz="0" w:space="0" w:color="auto"/>
                <w:left w:val="none" w:sz="0" w:space="0" w:color="auto"/>
                <w:bottom w:val="none" w:sz="0" w:space="0" w:color="auto"/>
                <w:right w:val="none" w:sz="0" w:space="0" w:color="auto"/>
              </w:divBdr>
              <w:divsChild>
                <w:div w:id="874806995">
                  <w:marLeft w:val="0"/>
                  <w:marRight w:val="0"/>
                  <w:marTop w:val="0"/>
                  <w:marBottom w:val="240"/>
                  <w:divBdr>
                    <w:top w:val="none" w:sz="0" w:space="0" w:color="auto"/>
                    <w:left w:val="none" w:sz="0" w:space="0" w:color="auto"/>
                    <w:bottom w:val="none" w:sz="0" w:space="0" w:color="auto"/>
                    <w:right w:val="none" w:sz="0" w:space="0" w:color="auto"/>
                  </w:divBdr>
                  <w:divsChild>
                    <w:div w:id="1354647498">
                      <w:marLeft w:val="0"/>
                      <w:marRight w:val="0"/>
                      <w:marTop w:val="0"/>
                      <w:marBottom w:val="0"/>
                      <w:divBdr>
                        <w:top w:val="none" w:sz="0" w:space="0" w:color="auto"/>
                        <w:left w:val="none" w:sz="0" w:space="0" w:color="auto"/>
                        <w:bottom w:val="none" w:sz="0" w:space="0" w:color="auto"/>
                        <w:right w:val="none" w:sz="0" w:space="0" w:color="auto"/>
                      </w:divBdr>
                      <w:divsChild>
                        <w:div w:id="57750016">
                          <w:marLeft w:val="0"/>
                          <w:marRight w:val="0"/>
                          <w:marTop w:val="0"/>
                          <w:marBottom w:val="0"/>
                          <w:divBdr>
                            <w:top w:val="none" w:sz="0" w:space="0" w:color="auto"/>
                            <w:left w:val="none" w:sz="0" w:space="0" w:color="auto"/>
                            <w:bottom w:val="none" w:sz="0" w:space="0" w:color="auto"/>
                            <w:right w:val="none" w:sz="0" w:space="0" w:color="auto"/>
                          </w:divBdr>
                          <w:divsChild>
                            <w:div w:id="11220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78101">
          <w:marLeft w:val="0"/>
          <w:marRight w:val="0"/>
          <w:marTop w:val="0"/>
          <w:marBottom w:val="0"/>
          <w:divBdr>
            <w:top w:val="none" w:sz="0" w:space="0" w:color="auto"/>
            <w:left w:val="none" w:sz="0" w:space="0" w:color="auto"/>
            <w:bottom w:val="none" w:sz="0" w:space="0" w:color="auto"/>
            <w:right w:val="none" w:sz="0" w:space="0" w:color="auto"/>
          </w:divBdr>
          <w:divsChild>
            <w:div w:id="3040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doc/healthcare-personnel-occupational-exposure-return-to-work-guidance/download" TargetMode="External"/><Relationship Id="rId18" Type="http://schemas.openxmlformats.org/officeDocument/2006/relationships/hyperlink" Target="mailto:EOHHSTestingContracts@mass.gov" TargetMode="External"/><Relationship Id="rId26" Type="http://schemas.openxmlformats.org/officeDocument/2006/relationships/hyperlink" Target="https://www.mass.gov/lists/guidance-for-abbott-binaxnow-in-congregate-care" TargetMode="External"/><Relationship Id="rId3" Type="http://schemas.openxmlformats.org/officeDocument/2006/relationships/styles" Target="styles.xml"/><Relationship Id="rId21" Type="http://schemas.openxmlformats.org/officeDocument/2006/relationships/hyperlink" Target="http://www.macomptroller.info/comptroller/docs/ctrinfo/contactlists/key-contact-mmars.xls" TargetMode="External"/><Relationship Id="rId7" Type="http://schemas.openxmlformats.org/officeDocument/2006/relationships/endnotes" Target="endnotes.xml"/><Relationship Id="rId12" Type="http://schemas.openxmlformats.org/officeDocument/2006/relationships/hyperlink" Target="https://www.mass.gov/doc/eohhs-congregate-care-surveillance-testing-guidance/download" TargetMode="External"/><Relationship Id="rId17" Type="http://schemas.openxmlformats.org/officeDocument/2006/relationships/hyperlink" Target="https://www.mass.gov/info-details/covid-19-response-reporting" TargetMode="External"/><Relationship Id="rId25" Type="http://schemas.openxmlformats.org/officeDocument/2006/relationships/hyperlink" Target="https://www.mass.gov/lists/guidance-for-abbott-binaxnow-in-congregate-care" TargetMode="External"/><Relationship Id="rId2" Type="http://schemas.openxmlformats.org/officeDocument/2006/relationships/numbering" Target="numbering.xml"/><Relationship Id="rId16" Type="http://schemas.openxmlformats.org/officeDocument/2006/relationships/hyperlink" Target="https://www.mass.gov/info-details/covid-19-response-reporting" TargetMode="External"/><Relationship Id="rId20" Type="http://schemas.openxmlformats.org/officeDocument/2006/relationships/hyperlink" Target="https://www.surveygizmo.com/s3/5764739/6c4b7cfab83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eohhs-congregate-care-surveillance-testing-guidance/download" TargetMode="External"/><Relationship Id="rId24" Type="http://schemas.openxmlformats.org/officeDocument/2006/relationships/hyperlink" Target="https://www.surveygizmo.com/s3/5764739/91fdc1f946e1" TargetMode="External"/><Relationship Id="rId5" Type="http://schemas.openxmlformats.org/officeDocument/2006/relationships/webSettings" Target="webSettings.xml"/><Relationship Id="rId15" Type="http://schemas.openxmlformats.org/officeDocument/2006/relationships/hyperlink" Target="https://www.mass.gov/doc/covid-19-testing-guidance/download" TargetMode="External"/><Relationship Id="rId23" Type="http://schemas.openxmlformats.org/officeDocument/2006/relationships/hyperlink" Target="mailto:EOHHSTestingContracts@mass.gov" TargetMode="External"/><Relationship Id="rId28" Type="http://schemas.openxmlformats.org/officeDocument/2006/relationships/hyperlink" Target="https://www.color.com/ma-eohhs-color-testing" TargetMode="External"/><Relationship Id="rId10" Type="http://schemas.openxmlformats.org/officeDocument/2006/relationships/hyperlink" Target="mailto:EOHHSTestingContract@mass.gov" TargetMode="External"/><Relationship Id="rId19" Type="http://schemas.openxmlformats.org/officeDocument/2006/relationships/hyperlink" Target="https://www.surveygizmo.com/s3/5764739/6c4b7cfab83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doc/covid-19-testing-guidance/download" TargetMode="External"/><Relationship Id="rId22" Type="http://schemas.openxmlformats.org/officeDocument/2006/relationships/hyperlink" Target="https://www.surveygizmo.com/s3/5764739/91fdc1f946e1" TargetMode="External"/><Relationship Id="rId27" Type="http://schemas.openxmlformats.org/officeDocument/2006/relationships/hyperlink" Target="https://www.mass.gov/lists/guidance-for-abbott-binaxnow-in-congregate-ca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2E62-B52F-4891-92A4-6EB37E32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5</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Lyons</dc:creator>
  <cp:lastModifiedBy>Yates, Carson (EHS)</cp:lastModifiedBy>
  <cp:revision>5</cp:revision>
  <dcterms:created xsi:type="dcterms:W3CDTF">2020-12-23T20:16:00Z</dcterms:created>
  <dcterms:modified xsi:type="dcterms:W3CDTF">2020-12-24T19:35:00Z</dcterms:modified>
</cp:coreProperties>
</file>